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6492" w14:textId="0326CBD4" w:rsidR="00FE28C6" w:rsidRDefault="00C66AC2" w:rsidP="00C66AC2">
      <w:pPr>
        <w:contextualSpacing/>
        <w:jc w:val="center"/>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ふるさと新潟市応援寄付金　返礼品の付加価値算定書</w:t>
      </w:r>
    </w:p>
    <w:p w14:paraId="630FA869" w14:textId="77777777" w:rsidR="00C66AC2" w:rsidRPr="007272E1" w:rsidRDefault="00C66AC2" w:rsidP="00FE28C6">
      <w:pPr>
        <w:contextualSpacing/>
        <w:rPr>
          <w:rFonts w:asciiTheme="minorEastAsia" w:hAnsiTheme="minorEastAsia"/>
          <w:color w:val="000000" w:themeColor="text1"/>
          <w:kern w:val="24"/>
          <w:szCs w:val="24"/>
        </w:rPr>
      </w:pPr>
    </w:p>
    <w:p w14:paraId="024D91AF" w14:textId="3227A77F" w:rsidR="00070C5A" w:rsidRPr="007272E1" w:rsidRDefault="008D59ED" w:rsidP="008D59ED">
      <w:pPr>
        <w:ind w:leftChars="100" w:left="240"/>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新潟市長　</w:t>
      </w:r>
      <w:r w:rsidR="00B72253" w:rsidRPr="007272E1">
        <w:rPr>
          <w:rFonts w:asciiTheme="minorEastAsia" w:hAnsiTheme="minorEastAsia" w:hint="eastAsia"/>
          <w:color w:val="000000" w:themeColor="text1"/>
          <w:kern w:val="24"/>
          <w:szCs w:val="24"/>
        </w:rPr>
        <w:t>殿</w:t>
      </w:r>
    </w:p>
    <w:p w14:paraId="7E387A37" w14:textId="3E6BDA16" w:rsidR="00070C5A"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所 在 地：　　　　　　　　　　　　　　</w:t>
      </w:r>
    </w:p>
    <w:p w14:paraId="26476BD5" w14:textId="0DA6A302" w:rsidR="008D59ED"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事業者名：　　　　　　　　　　　　　　</w:t>
      </w:r>
    </w:p>
    <w:p w14:paraId="2B40ACEE" w14:textId="3834A618" w:rsidR="008D59ED" w:rsidRPr="007272E1"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代表者名：　　　　　　　　　　　　　　</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68A0CF6A"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008D59ED">
        <w:rPr>
          <w:rFonts w:asciiTheme="minorEastAsia" w:hAnsiTheme="minorEastAsia" w:hint="eastAsia"/>
          <w:color w:val="000000" w:themeColor="text1"/>
          <w:kern w:val="24"/>
          <w:szCs w:val="24"/>
        </w:rPr>
        <w:t>新潟県新潟市</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2AB00545"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8D59ED">
        <w:rPr>
          <w:rFonts w:asciiTheme="minorEastAsia" w:hAnsiTheme="minorEastAsia" w:hint="eastAsia"/>
          <w:color w:val="000000" w:themeColor="text1"/>
          <w:kern w:val="24"/>
          <w:szCs w:val="24"/>
        </w:rPr>
        <w:t>新潟県新潟市</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Default="00070C5A" w:rsidP="00957AF6">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p w14:paraId="3B537AF7" w14:textId="77777777" w:rsidR="008D59ED" w:rsidRDefault="008D59ED" w:rsidP="00957AF6">
      <w:pPr>
        <w:ind w:left="993" w:hanging="719"/>
        <w:contextualSpacing/>
        <w:rPr>
          <w:rFonts w:asciiTheme="minorEastAsia" w:hAnsiTheme="minorEastAsia"/>
          <w:color w:val="000000" w:themeColor="text1"/>
          <w:kern w:val="24"/>
          <w:szCs w:val="24"/>
        </w:rPr>
      </w:pPr>
    </w:p>
    <w:p w14:paraId="1F5CFDB2" w14:textId="77777777" w:rsidR="008D59ED" w:rsidRDefault="008D59ED" w:rsidP="00957AF6">
      <w:pPr>
        <w:ind w:left="993" w:hanging="719"/>
        <w:contextualSpacing/>
        <w:rPr>
          <w:rFonts w:asciiTheme="minorEastAsia" w:hAnsiTheme="minorEastAsia"/>
          <w:color w:val="000000" w:themeColor="text1"/>
          <w:kern w:val="24"/>
          <w:szCs w:val="24"/>
        </w:rPr>
      </w:pPr>
    </w:p>
    <w:p w14:paraId="5C4EA606" w14:textId="50440BC5" w:rsidR="008D59ED" w:rsidRDefault="008D59ED">
      <w:pPr>
        <w:widowControl/>
        <w:jc w:val="left"/>
        <w:rPr>
          <w:rFonts w:asciiTheme="minorEastAsia" w:hAnsiTheme="minorEastAsia"/>
          <w:color w:val="000000" w:themeColor="text1"/>
          <w:kern w:val="24"/>
          <w:szCs w:val="24"/>
        </w:rPr>
      </w:pPr>
      <w:r>
        <w:rPr>
          <w:rFonts w:asciiTheme="minorEastAsia" w:hAnsiTheme="minorEastAsia"/>
          <w:color w:val="000000" w:themeColor="text1"/>
          <w:kern w:val="24"/>
          <w:szCs w:val="24"/>
        </w:rPr>
        <w:br w:type="page"/>
      </w:r>
    </w:p>
    <w:p w14:paraId="5D846B5E" w14:textId="0847655A" w:rsidR="008D59ED" w:rsidRDefault="008D59ED" w:rsidP="008D59ED">
      <w:pPr>
        <w:contextualSpacing/>
        <w:jc w:val="center"/>
        <w:rPr>
          <w:rFonts w:ascii="ＭＳ ゴシック" w:eastAsia="ＭＳ ゴシック" w:hAnsi="ＭＳ ゴシック"/>
          <w:b/>
          <w:bCs/>
          <w:color w:val="EE0000"/>
          <w:kern w:val="24"/>
          <w:szCs w:val="24"/>
        </w:rPr>
      </w:pPr>
      <w:r w:rsidRPr="008D59ED">
        <w:rPr>
          <w:rFonts w:ascii="ＭＳ ゴシック" w:eastAsia="ＭＳ ゴシック" w:hAnsi="ＭＳ ゴシック" w:hint="eastAsia"/>
          <w:b/>
          <w:bCs/>
          <w:color w:val="EE0000"/>
          <w:kern w:val="24"/>
          <w:szCs w:val="24"/>
        </w:rPr>
        <w:lastRenderedPageBreak/>
        <w:t>記載例</w:t>
      </w:r>
    </w:p>
    <w:p w14:paraId="419648FC" w14:textId="77777777" w:rsidR="00C66AC2" w:rsidRPr="008D59ED" w:rsidRDefault="00C66AC2" w:rsidP="008D59ED">
      <w:pPr>
        <w:contextualSpacing/>
        <w:jc w:val="center"/>
        <w:rPr>
          <w:rFonts w:ascii="ＭＳ ゴシック" w:eastAsia="ＭＳ ゴシック" w:hAnsi="ＭＳ ゴシック"/>
          <w:b/>
          <w:bCs/>
          <w:color w:val="EE0000"/>
          <w:kern w:val="24"/>
          <w:szCs w:val="24"/>
        </w:rPr>
      </w:pPr>
    </w:p>
    <w:p w14:paraId="59E23A5B" w14:textId="77777777" w:rsidR="00C66AC2" w:rsidRDefault="00C66AC2" w:rsidP="00C66AC2">
      <w:pPr>
        <w:contextualSpacing/>
        <w:jc w:val="center"/>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ふるさと新潟市応援寄付金　返礼品の付加価値算定書</w:t>
      </w:r>
    </w:p>
    <w:p w14:paraId="5A9D295D" w14:textId="77777777" w:rsidR="008D59ED" w:rsidRPr="00C66AC2" w:rsidRDefault="008D59ED" w:rsidP="008D59ED">
      <w:pPr>
        <w:contextualSpacing/>
        <w:rPr>
          <w:rFonts w:asciiTheme="minorEastAsia" w:hAnsiTheme="minorEastAsia"/>
          <w:color w:val="000000" w:themeColor="text1"/>
          <w:kern w:val="24"/>
          <w:szCs w:val="24"/>
        </w:rPr>
      </w:pPr>
    </w:p>
    <w:p w14:paraId="5A48C22E" w14:textId="77777777" w:rsidR="008D59ED" w:rsidRPr="007272E1" w:rsidRDefault="008D59ED" w:rsidP="008D59ED">
      <w:pPr>
        <w:ind w:leftChars="100" w:left="240"/>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新潟市長　</w:t>
      </w:r>
      <w:r w:rsidRPr="007272E1">
        <w:rPr>
          <w:rFonts w:asciiTheme="minorEastAsia" w:hAnsiTheme="minorEastAsia" w:hint="eastAsia"/>
          <w:color w:val="000000" w:themeColor="text1"/>
          <w:kern w:val="24"/>
          <w:szCs w:val="24"/>
        </w:rPr>
        <w:t>殿</w:t>
      </w:r>
    </w:p>
    <w:p w14:paraId="344E400B" w14:textId="523777F0" w:rsidR="008D59ED"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所 在 地：</w:t>
      </w:r>
      <w:r w:rsidRPr="008D59ED">
        <w:rPr>
          <w:rFonts w:asciiTheme="minorEastAsia" w:hAnsiTheme="minorEastAsia" w:hint="eastAsia"/>
          <w:color w:val="EE0000"/>
          <w:kern w:val="24"/>
          <w:szCs w:val="24"/>
        </w:rPr>
        <w:t>新潟市中央区○○○町１－１</w:t>
      </w:r>
    </w:p>
    <w:p w14:paraId="38FBBDF6" w14:textId="46D4AB5A" w:rsidR="008D59ED"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事業者名：</w:t>
      </w:r>
      <w:r w:rsidRPr="008D59ED">
        <w:rPr>
          <w:rFonts w:asciiTheme="minorEastAsia" w:hAnsiTheme="minorEastAsia" w:hint="eastAsia"/>
          <w:color w:val="EE0000"/>
          <w:kern w:val="24"/>
          <w:szCs w:val="24"/>
        </w:rPr>
        <w:t>株式会社○○</w:t>
      </w:r>
      <w:r>
        <w:rPr>
          <w:rFonts w:asciiTheme="minorEastAsia" w:hAnsiTheme="minorEastAsia" w:hint="eastAsia"/>
          <w:color w:val="000000" w:themeColor="text1"/>
          <w:kern w:val="24"/>
          <w:szCs w:val="24"/>
        </w:rPr>
        <w:t xml:space="preserve">　　　　　　　</w:t>
      </w:r>
    </w:p>
    <w:p w14:paraId="2CB369A6" w14:textId="1A8D162B" w:rsidR="008D59ED" w:rsidRPr="007272E1" w:rsidRDefault="008D59ED" w:rsidP="008D59ED">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代表者名：</w:t>
      </w:r>
      <w:r w:rsidRPr="008D59ED">
        <w:rPr>
          <w:rFonts w:asciiTheme="minorEastAsia" w:hAnsiTheme="minorEastAsia" w:hint="eastAsia"/>
          <w:color w:val="EE0000"/>
          <w:kern w:val="24"/>
          <w:szCs w:val="24"/>
        </w:rPr>
        <w:t>代表取締役社長　○○　○○</w:t>
      </w:r>
    </w:p>
    <w:p w14:paraId="79E8D2A1" w14:textId="77777777" w:rsidR="008D59ED" w:rsidRPr="007272E1" w:rsidRDefault="008D59ED" w:rsidP="008D59ED">
      <w:pPr>
        <w:ind w:left="288"/>
        <w:contextualSpacing/>
        <w:jc w:val="right"/>
        <w:rPr>
          <w:rFonts w:asciiTheme="minorEastAsia" w:hAnsiTheme="minorEastAsia"/>
          <w:color w:val="000000" w:themeColor="text1"/>
          <w:kern w:val="24"/>
          <w:szCs w:val="24"/>
        </w:rPr>
      </w:pPr>
    </w:p>
    <w:p w14:paraId="73E555B5" w14:textId="53CB8AB3" w:rsidR="008D59ED" w:rsidRPr="007272E1" w:rsidRDefault="008D59ED" w:rsidP="008D59ED">
      <w:pPr>
        <w:spacing w:before="240"/>
        <w:ind w:left="418" w:firstLine="158"/>
        <w:contextualSpacing/>
        <w:rPr>
          <w:rFonts w:asciiTheme="minorEastAsia" w:hAnsiTheme="minorEastAsia"/>
          <w:color w:val="000000" w:themeColor="text1"/>
          <w:kern w:val="24"/>
          <w:szCs w:val="24"/>
        </w:rPr>
      </w:pPr>
      <w:r w:rsidRPr="008D59ED">
        <w:rPr>
          <w:rFonts w:asciiTheme="minorEastAsia" w:hAnsiTheme="minorEastAsia" w:hint="eastAsia"/>
          <w:color w:val="EE0000"/>
          <w:kern w:val="24"/>
          <w:szCs w:val="24"/>
        </w:rPr>
        <w:t>新潟市役所米菓</w:t>
      </w:r>
      <w:r w:rsidR="00E128EC">
        <w:rPr>
          <w:rFonts w:asciiTheme="minorEastAsia" w:hAnsiTheme="minorEastAsia" w:hint="eastAsia"/>
          <w:color w:val="EE0000"/>
          <w:kern w:val="24"/>
          <w:szCs w:val="24"/>
        </w:rPr>
        <w:t>３点セット</w:t>
      </w:r>
      <w:r w:rsidRPr="007272E1">
        <w:rPr>
          <w:rFonts w:asciiTheme="minorEastAsia" w:hAnsiTheme="minorEastAsia" w:hint="eastAsia"/>
          <w:color w:val="000000" w:themeColor="text1"/>
          <w:kern w:val="24"/>
          <w:szCs w:val="24"/>
        </w:rPr>
        <w:t>については、</w:t>
      </w:r>
      <w:r>
        <w:rPr>
          <w:rFonts w:asciiTheme="minorEastAsia" w:hAnsiTheme="minorEastAsia" w:hint="eastAsia"/>
          <w:color w:val="000000" w:themeColor="text1"/>
          <w:kern w:val="24"/>
          <w:szCs w:val="24"/>
        </w:rPr>
        <w:t>新潟県</w:t>
      </w:r>
      <w:r w:rsidRPr="008D59ED">
        <w:rPr>
          <w:rFonts w:asciiTheme="minorEastAsia" w:hAnsiTheme="minorEastAsia" w:hint="eastAsia"/>
          <w:color w:val="000000" w:themeColor="text1"/>
          <w:kern w:val="24"/>
          <w:szCs w:val="24"/>
        </w:rPr>
        <w:t>新潟市の</w:t>
      </w:r>
      <w:r w:rsidRPr="007272E1">
        <w:rPr>
          <w:rFonts w:asciiTheme="minorEastAsia" w:hAnsiTheme="minorEastAsia" w:hint="eastAsia"/>
          <w:color w:val="000000" w:themeColor="text1"/>
          <w:kern w:val="24"/>
          <w:szCs w:val="24"/>
        </w:rPr>
        <w:t>区域内における工程により、当該返礼品等の価値の</w:t>
      </w:r>
      <w:r w:rsidRPr="008D59ED">
        <w:rPr>
          <w:rFonts w:asciiTheme="minorEastAsia" w:hAnsiTheme="minorEastAsia" w:hint="eastAsia"/>
          <w:color w:val="EE0000"/>
          <w:kern w:val="24"/>
          <w:szCs w:val="24"/>
        </w:rPr>
        <w:t>７０</w:t>
      </w:r>
      <w:r w:rsidRPr="007272E1">
        <w:rPr>
          <w:rFonts w:asciiTheme="minorEastAsia" w:hAnsiTheme="minorEastAsia" w:hint="eastAsia"/>
          <w:color w:val="000000" w:themeColor="text1"/>
          <w:kern w:val="24"/>
          <w:szCs w:val="24"/>
        </w:rPr>
        <w:t>％が生じていることを証明します。</w:t>
      </w:r>
    </w:p>
    <w:p w14:paraId="4015FE42" w14:textId="77777777" w:rsidR="008D59ED" w:rsidRPr="007272E1" w:rsidRDefault="008D59ED" w:rsidP="008D59ED">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26C80D69" w14:textId="77777777" w:rsidR="008D59ED" w:rsidRPr="007272E1" w:rsidRDefault="008D59ED" w:rsidP="008D59ED">
      <w:pPr>
        <w:spacing w:before="240"/>
        <w:ind w:left="418" w:firstLine="158"/>
        <w:contextualSpacing/>
        <w:rPr>
          <w:rFonts w:asciiTheme="minorEastAsia" w:hAnsiTheme="minorEastAsia"/>
          <w:color w:val="000000" w:themeColor="text1"/>
          <w:kern w:val="24"/>
          <w:szCs w:val="24"/>
        </w:rPr>
      </w:pPr>
    </w:p>
    <w:p w14:paraId="63B72A0B" w14:textId="51E301B2" w:rsidR="008D59ED" w:rsidRPr="007272E1" w:rsidRDefault="008D59ED" w:rsidP="008D59ED">
      <w:pPr>
        <w:ind w:firstLine="576"/>
        <w:contextualSpacing/>
        <w:rPr>
          <w:rFonts w:asciiTheme="minorEastAsia" w:hAnsiTheme="minorEastAsia"/>
          <w:color w:val="000000" w:themeColor="text1"/>
          <w:kern w:val="24"/>
          <w:szCs w:val="24"/>
        </w:rPr>
      </w:pPr>
      <w:r w:rsidRPr="008D59ED">
        <w:rPr>
          <w:rFonts w:asciiTheme="minorEastAsia" w:hAnsiTheme="minorEastAsia" w:hint="eastAsia"/>
          <w:color w:val="EE0000"/>
          <w:kern w:val="24"/>
          <w:szCs w:val="24"/>
        </w:rPr>
        <w:t>☑</w:t>
      </w:r>
      <w:r w:rsidRPr="007272E1">
        <w:rPr>
          <w:rFonts w:asciiTheme="minorEastAsia" w:hAnsiTheme="minorEastAsia" w:hint="eastAsia"/>
          <w:color w:val="000000" w:themeColor="text1"/>
          <w:kern w:val="24"/>
          <w:szCs w:val="24"/>
        </w:rPr>
        <w:t xml:space="preserve">　総務大臣が定める標準的な算出方法</w:t>
      </w:r>
    </w:p>
    <w:p w14:paraId="04D4CAFB" w14:textId="77777777" w:rsidR="008D59ED" w:rsidRPr="007272E1" w:rsidRDefault="008D59ED" w:rsidP="008D59ED">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727BB0A2" w14:textId="0DD43E0F" w:rsidR="008D59ED" w:rsidRPr="007272E1" w:rsidRDefault="008D59ED" w:rsidP="008D59ED">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Pr="007272E1">
        <w:rPr>
          <w:rFonts w:asciiTheme="minorEastAsia" w:hAnsiTheme="minorEastAsia" w:hint="eastAsia"/>
          <w:color w:val="000000" w:themeColor="text1"/>
          <w:kern w:val="24"/>
          <w:szCs w:val="24"/>
          <w:u w:val="single"/>
        </w:rPr>
        <w:t xml:space="preserve">　</w:t>
      </w:r>
      <w:r w:rsidRPr="008D59ED">
        <w:rPr>
          <w:rFonts w:asciiTheme="minorEastAsia" w:hAnsiTheme="minorEastAsia" w:hint="eastAsia"/>
          <w:color w:val="EE0000"/>
          <w:kern w:val="24"/>
          <w:szCs w:val="24"/>
          <w:u w:val="single"/>
        </w:rPr>
        <w:t>3,000</w:t>
      </w:r>
      <w:r w:rsidRPr="007272E1">
        <w:rPr>
          <w:rFonts w:asciiTheme="minorEastAsia" w:hAnsiTheme="minorEastAsia" w:hint="eastAsia"/>
          <w:color w:val="000000" w:themeColor="text1"/>
          <w:kern w:val="24"/>
          <w:szCs w:val="24"/>
          <w:u w:val="single"/>
        </w:rPr>
        <w:t xml:space="preserve">　円</w:t>
      </w:r>
    </w:p>
    <w:p w14:paraId="0E343290" w14:textId="225D8896" w:rsidR="008D59ED" w:rsidRPr="007272E1" w:rsidRDefault="008D59ED" w:rsidP="008D59ED">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Ｂ：当該返礼品等の製造・販売等のために当該地方団体の区域外で生じた費用　　　　　　　　　　　　　　　　　　　　　</w:t>
      </w:r>
      <w:r w:rsidRPr="007272E1">
        <w:rPr>
          <w:rFonts w:asciiTheme="minorEastAsia" w:hAnsiTheme="minorEastAsia" w:hint="eastAsia"/>
          <w:color w:val="000000" w:themeColor="text1"/>
          <w:kern w:val="24"/>
          <w:szCs w:val="24"/>
          <w:u w:val="single"/>
        </w:rPr>
        <w:t xml:space="preserve">　</w:t>
      </w:r>
      <w:r>
        <w:rPr>
          <w:rFonts w:asciiTheme="minorEastAsia" w:hAnsiTheme="minorEastAsia" w:hint="eastAsia"/>
          <w:color w:val="000000" w:themeColor="text1"/>
          <w:kern w:val="24"/>
          <w:szCs w:val="24"/>
          <w:u w:val="single"/>
        </w:rPr>
        <w:t xml:space="preserve">　</w:t>
      </w:r>
      <w:r w:rsidRPr="008D59ED">
        <w:rPr>
          <w:rFonts w:asciiTheme="minorEastAsia" w:hAnsiTheme="minorEastAsia" w:hint="eastAsia"/>
          <w:color w:val="EE0000"/>
          <w:kern w:val="24"/>
          <w:szCs w:val="24"/>
          <w:u w:val="single"/>
        </w:rPr>
        <w:t>784</w:t>
      </w:r>
      <w:r w:rsidRPr="007272E1">
        <w:rPr>
          <w:rFonts w:asciiTheme="minorEastAsia" w:hAnsiTheme="minorEastAsia" w:hint="eastAsia"/>
          <w:color w:val="000000" w:themeColor="text1"/>
          <w:kern w:val="24"/>
          <w:szCs w:val="24"/>
          <w:u w:val="single"/>
        </w:rPr>
        <w:t xml:space="preserve">　円</w:t>
      </w:r>
    </w:p>
    <w:p w14:paraId="03846D99" w14:textId="77777777" w:rsidR="008D59ED" w:rsidRPr="007272E1" w:rsidRDefault="008D59ED" w:rsidP="008D59ED">
      <w:pPr>
        <w:ind w:firstLine="576"/>
        <w:contextualSpacing/>
        <w:rPr>
          <w:rFonts w:asciiTheme="minorEastAsia" w:hAnsiTheme="minorEastAsia"/>
          <w:color w:val="000000" w:themeColor="text1"/>
          <w:kern w:val="24"/>
          <w:szCs w:val="24"/>
        </w:rPr>
      </w:pPr>
    </w:p>
    <w:p w14:paraId="0A6D2B4D" w14:textId="77777777" w:rsidR="008D59ED" w:rsidRPr="007272E1" w:rsidRDefault="008D59ED" w:rsidP="008D59ED">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1922DC9A" w14:textId="77777777" w:rsidR="008D59ED" w:rsidRPr="007272E1" w:rsidRDefault="008D59ED" w:rsidP="008D59ED">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※その他の算出方法とする理由及びその算出方法の詳細は以下のとおり。</w:t>
      </w:r>
    </w:p>
    <w:p w14:paraId="6975B930" w14:textId="77777777" w:rsidR="008D59ED" w:rsidRPr="007272E1" w:rsidRDefault="008D59ED" w:rsidP="008D59ED">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61316" behindDoc="0" locked="0" layoutInCell="1" allowOverlap="1" wp14:anchorId="0CE6E1A6" wp14:editId="106B6577">
                <wp:simplePos x="0" y="0"/>
                <wp:positionH relativeFrom="column">
                  <wp:posOffset>216535</wp:posOffset>
                </wp:positionH>
                <wp:positionV relativeFrom="paragraph">
                  <wp:posOffset>71286</wp:posOffset>
                </wp:positionV>
                <wp:extent cx="5636895" cy="853440"/>
                <wp:effectExtent l="0" t="0" r="20955" b="22860"/>
                <wp:wrapNone/>
                <wp:docPr id="1533087871"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132702A5" w14:textId="77777777" w:rsidR="008D59ED" w:rsidRDefault="008D59ED" w:rsidP="008D5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E6E1A6" id="_x0000_t202" coordsize="21600,21600" o:spt="202" path="m,l,21600r21600,l21600,xe">
                <v:stroke joinstyle="miter"/>
                <v:path gradientshapeok="t" o:connecttype="rect"/>
              </v:shapetype>
              <v:shape id="_x0000_s1027" type="#_x0000_t202" style="position:absolute;left:0;text-align:left;margin-left:17.05pt;margin-top:5.6pt;width:443.85pt;height:67.2pt;z-index:251661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" fillcolor="white [3212]" strokeweight=".5pt">
                <v:textbox>
                  <w:txbxContent>
                    <w:p w14:paraId="132702A5" w14:textId="77777777" w:rsidR="008D59ED" w:rsidRDefault="008D59ED" w:rsidP="008D59ED"/>
                  </w:txbxContent>
                </v:textbox>
              </v:shape>
            </w:pict>
          </mc:Fallback>
        </mc:AlternateContent>
      </w:r>
    </w:p>
    <w:p w14:paraId="644E5DF2" w14:textId="77777777" w:rsidR="008D59ED" w:rsidRPr="007272E1" w:rsidRDefault="008D59ED" w:rsidP="008D59ED">
      <w:pPr>
        <w:ind w:firstLine="576"/>
        <w:contextualSpacing/>
        <w:rPr>
          <w:rFonts w:asciiTheme="minorEastAsia" w:hAnsiTheme="minorEastAsia"/>
          <w:color w:val="000000" w:themeColor="text1"/>
          <w:kern w:val="24"/>
          <w:szCs w:val="24"/>
        </w:rPr>
      </w:pPr>
    </w:p>
    <w:p w14:paraId="2D770241" w14:textId="77777777" w:rsidR="008D59ED" w:rsidRPr="007272E1" w:rsidRDefault="008D59ED" w:rsidP="008D59ED">
      <w:pPr>
        <w:ind w:firstLine="576"/>
        <w:contextualSpacing/>
        <w:rPr>
          <w:rFonts w:asciiTheme="minorEastAsia" w:hAnsiTheme="minorEastAsia"/>
          <w:color w:val="000000" w:themeColor="text1"/>
          <w:kern w:val="24"/>
          <w:szCs w:val="24"/>
        </w:rPr>
      </w:pPr>
    </w:p>
    <w:p w14:paraId="499E3C53" w14:textId="77777777" w:rsidR="008D59ED" w:rsidRPr="007272E1" w:rsidRDefault="008D59ED" w:rsidP="008D59ED">
      <w:pPr>
        <w:ind w:firstLine="576"/>
        <w:contextualSpacing/>
        <w:rPr>
          <w:rFonts w:asciiTheme="minorEastAsia" w:hAnsiTheme="minorEastAsia"/>
          <w:color w:val="000000" w:themeColor="text1"/>
          <w:kern w:val="24"/>
          <w:szCs w:val="24"/>
        </w:rPr>
      </w:pPr>
    </w:p>
    <w:p w14:paraId="567D0548" w14:textId="77777777" w:rsidR="008D59ED" w:rsidRPr="007272E1" w:rsidRDefault="008D59ED" w:rsidP="008D59ED">
      <w:pPr>
        <w:ind w:firstLine="576"/>
        <w:contextualSpacing/>
        <w:rPr>
          <w:rFonts w:asciiTheme="minorEastAsia" w:hAnsiTheme="minorEastAsia"/>
          <w:color w:val="000000" w:themeColor="text1"/>
          <w:kern w:val="24"/>
          <w:szCs w:val="24"/>
        </w:rPr>
      </w:pPr>
    </w:p>
    <w:p w14:paraId="15407FCA" w14:textId="663AE7A4" w:rsidR="008D59ED" w:rsidRDefault="008D59ED" w:rsidP="008D59ED">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Pr="008D59ED">
        <w:rPr>
          <w:rFonts w:asciiTheme="minorEastAsia" w:hAnsiTheme="minorEastAsia" w:hint="eastAsia"/>
          <w:color w:val="EE0000"/>
          <w:kern w:val="24"/>
          <w:szCs w:val="24"/>
        </w:rPr>
        <w:t>新潟県新潟市</w:t>
      </w:r>
      <w:r w:rsidRPr="007272E1">
        <w:rPr>
          <w:rFonts w:asciiTheme="minorEastAsia" w:hAnsiTheme="minorEastAsia" w:hint="eastAsia"/>
          <w:color w:val="000000" w:themeColor="text1"/>
          <w:kern w:val="24"/>
          <w:szCs w:val="24"/>
        </w:rPr>
        <w:t>であり、一般販売価格は</w:t>
      </w:r>
      <w:r w:rsidRPr="008D59ED">
        <w:rPr>
          <w:rFonts w:asciiTheme="minorEastAsia" w:hAnsiTheme="minorEastAsia" w:hint="eastAsia"/>
          <w:color w:val="EE0000"/>
          <w:kern w:val="24"/>
          <w:szCs w:val="24"/>
        </w:rPr>
        <w:t>3,000</w:t>
      </w:r>
      <w:r w:rsidRPr="007272E1">
        <w:rPr>
          <w:rFonts w:asciiTheme="minorEastAsia" w:hAnsiTheme="minorEastAsia" w:hint="eastAsia"/>
          <w:color w:val="000000" w:themeColor="text1"/>
          <w:kern w:val="24"/>
          <w:szCs w:val="24"/>
        </w:rPr>
        <w:t>円です</w:t>
      </w:r>
      <w:r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667319AF" w14:textId="77777777" w:rsidR="008D59ED" w:rsidRDefault="008D59ED" w:rsidP="008D59ED">
      <w:pPr>
        <w:spacing w:before="240"/>
        <w:ind w:left="418" w:firstLine="158"/>
        <w:contextualSpacing/>
        <w:rPr>
          <w:rFonts w:asciiTheme="minorEastAsia" w:hAnsiTheme="minorEastAsia"/>
          <w:color w:val="000000" w:themeColor="text1"/>
          <w:kern w:val="24"/>
          <w:szCs w:val="24"/>
        </w:rPr>
      </w:pPr>
    </w:p>
    <w:p w14:paraId="68AD3C58" w14:textId="77777777" w:rsidR="008D59ED" w:rsidRPr="00957AF6" w:rsidRDefault="008D59ED" w:rsidP="008D59ED">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8F0D9C7" w14:textId="77777777" w:rsidR="008D59ED" w:rsidRDefault="008D59ED" w:rsidP="008D59ED">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2ADF9105" w14:textId="77777777" w:rsidR="008D59ED" w:rsidRPr="007272E1" w:rsidRDefault="008D59ED" w:rsidP="008D59ED">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DCB2B9B" w14:textId="77777777" w:rsidR="008D59ED" w:rsidRPr="007272E1" w:rsidRDefault="008D59ED" w:rsidP="008D59ED">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60292" behindDoc="0" locked="0" layoutInCell="1" allowOverlap="1" wp14:anchorId="032036A3" wp14:editId="05DCCBBB">
                <wp:simplePos x="0" y="0"/>
                <wp:positionH relativeFrom="column">
                  <wp:posOffset>40640</wp:posOffset>
                </wp:positionH>
                <wp:positionV relativeFrom="paragraph">
                  <wp:posOffset>135255</wp:posOffset>
                </wp:positionV>
                <wp:extent cx="6028055" cy="1381125"/>
                <wp:effectExtent l="0" t="0" r="10795" b="28575"/>
                <wp:wrapNone/>
                <wp:docPr id="1291471187"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BE3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5654BB64" w14:textId="77777777" w:rsidR="008D59ED" w:rsidRPr="007272E1" w:rsidRDefault="008D59ED" w:rsidP="008D59ED">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0BA5BC41" w14:textId="77777777" w:rsidR="008D59ED" w:rsidRPr="007272E1" w:rsidRDefault="008D59ED" w:rsidP="008D59ED">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　返礼品等の製造・加工が行われた場所について、国内の場合は都道府県名及び市区町村名（例：○○県○○市）、国外の場合は国名を記載すること。</w:t>
      </w:r>
    </w:p>
    <w:p w14:paraId="7033C3AE" w14:textId="77777777" w:rsidR="008D59ED" w:rsidRDefault="008D59ED" w:rsidP="008D59ED">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※２　当該返礼品等を一般消費者に対して販売する際の通常の価格を記載すること。なお、当該返礼品等が非売品である場合には、当該返礼品等の類似製品に係る通常の価格を記載すること。</w:t>
      </w:r>
    </w:p>
    <w:p w14:paraId="79A3039D" w14:textId="77777777" w:rsidR="008D59ED" w:rsidRPr="008D59ED" w:rsidRDefault="008D59ED" w:rsidP="008D59ED">
      <w:pPr>
        <w:contextualSpacing/>
        <w:rPr>
          <w:rFonts w:asciiTheme="minorEastAsia" w:hAnsiTheme="minorEastAsia"/>
          <w:color w:val="000000" w:themeColor="text1"/>
          <w:kern w:val="24"/>
          <w:szCs w:val="24"/>
        </w:rPr>
      </w:pPr>
    </w:p>
    <w:sectPr w:rsidR="008D59ED" w:rsidRPr="008D59ED"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07498824">
    <w:abstractNumId w:val="8"/>
  </w:num>
  <w:num w:numId="2" w16cid:durableId="1263146296">
    <w:abstractNumId w:val="3"/>
  </w:num>
  <w:num w:numId="3" w16cid:durableId="2138834267">
    <w:abstractNumId w:val="6"/>
  </w:num>
  <w:num w:numId="4" w16cid:durableId="1205408873">
    <w:abstractNumId w:val="21"/>
  </w:num>
  <w:num w:numId="5" w16cid:durableId="894969467">
    <w:abstractNumId w:val="7"/>
  </w:num>
  <w:num w:numId="6" w16cid:durableId="1307777252">
    <w:abstractNumId w:val="17"/>
  </w:num>
  <w:num w:numId="7" w16cid:durableId="1040974317">
    <w:abstractNumId w:val="2"/>
  </w:num>
  <w:num w:numId="8" w16cid:durableId="2105415632">
    <w:abstractNumId w:val="0"/>
  </w:num>
  <w:num w:numId="9" w16cid:durableId="1657950424">
    <w:abstractNumId w:val="16"/>
  </w:num>
  <w:num w:numId="10" w16cid:durableId="2104908644">
    <w:abstractNumId w:val="19"/>
  </w:num>
  <w:num w:numId="11" w16cid:durableId="1237282285">
    <w:abstractNumId w:val="11"/>
  </w:num>
  <w:num w:numId="12" w16cid:durableId="262693490">
    <w:abstractNumId w:val="1"/>
  </w:num>
  <w:num w:numId="13" w16cid:durableId="1300768177">
    <w:abstractNumId w:val="20"/>
  </w:num>
  <w:num w:numId="14" w16cid:durableId="195822011">
    <w:abstractNumId w:val="18"/>
  </w:num>
  <w:num w:numId="15" w16cid:durableId="33775509">
    <w:abstractNumId w:val="9"/>
  </w:num>
  <w:num w:numId="16" w16cid:durableId="238027216">
    <w:abstractNumId w:val="4"/>
  </w:num>
  <w:num w:numId="17" w16cid:durableId="151726547">
    <w:abstractNumId w:val="10"/>
  </w:num>
  <w:num w:numId="18" w16cid:durableId="1791821844">
    <w:abstractNumId w:val="13"/>
  </w:num>
  <w:num w:numId="19" w16cid:durableId="205795771">
    <w:abstractNumId w:val="12"/>
  </w:num>
  <w:num w:numId="20" w16cid:durableId="864446195">
    <w:abstractNumId w:val="14"/>
  </w:num>
  <w:num w:numId="21" w16cid:durableId="1709453322">
    <w:abstractNumId w:val="5"/>
  </w:num>
  <w:num w:numId="22" w16cid:durableId="1819375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0D84"/>
    <w:rsid w:val="0034115A"/>
    <w:rsid w:val="00344B2A"/>
    <w:rsid w:val="003515F1"/>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170B"/>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475E"/>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59ED"/>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6AC2"/>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FBD"/>
    <w:rsid w:val="00D24CC7"/>
    <w:rsid w:val="00D312AC"/>
    <w:rsid w:val="00D325A9"/>
    <w:rsid w:val="00D3491C"/>
    <w:rsid w:val="00D366C7"/>
    <w:rsid w:val="00D403E7"/>
    <w:rsid w:val="00D41C6B"/>
    <w:rsid w:val="00D459DF"/>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28EC"/>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0aef7f3-8f39-4ca9-a803-4d020593549d" xsi:nil="true"/>
    <TaxCatchAll xmlns="956f8374-eac6-4c01-9e9a-c7d7573af740" xsi:nil="true"/>
    <lcf76f155ced4ddcb4097134ff3c332f xmlns="50aef7f3-8f39-4ca9-a803-4d0205935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42DCC-79E2-42E3-95AF-E7EDE131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4DF51-7E29-408E-954A-A3411AE404CF}">
  <ds:schemaRefs>
    <ds:schemaRef ds:uri="http://schemas.openxmlformats.org/officeDocument/2006/bibliography"/>
  </ds:schemaRefs>
</ds:datastoreItem>
</file>

<file path=customXml/itemProps3.xml><?xml version="1.0" encoding="utf-8"?>
<ds:datastoreItem xmlns:ds="http://schemas.openxmlformats.org/officeDocument/2006/customXml" ds:itemID="{8E3168D2-1B19-429A-8281-6C49C17B3A53}">
  <ds:schemaRefs>
    <ds:schemaRef ds:uri="http://schemas.microsoft.com/sharepoint/v3/contenttype/forms"/>
  </ds:schemaRefs>
</ds:datastoreItem>
</file>

<file path=customXml/itemProps4.xml><?xml version="1.0" encoding="utf-8"?>
<ds:datastoreItem xmlns:ds="http://schemas.openxmlformats.org/officeDocument/2006/customXml" ds:itemID="{5E986896-5194-4BB0-8A1A-AAD4AFB041F4}">
  <ds:schemaRefs>
    <ds:schemaRef ds:uri="http://schemas.microsoft.com/office/2006/metadata/properties"/>
    <ds:schemaRef ds:uri="http://purl.org/dc/dcmitype/"/>
    <ds:schemaRef ds:uri="http://schemas.microsoft.com/office/2006/documentManagement/types"/>
    <ds:schemaRef ds:uri="http://purl.org/dc/terms/"/>
    <ds:schemaRef ds:uri="50aef7f3-8f39-4ca9-a803-4d020593549d"/>
    <ds:schemaRef ds:uri="http://www.w3.org/XML/1998/namespace"/>
    <ds:schemaRef ds:uri="http://purl.org/dc/elements/1.1/"/>
    <ds:schemaRef ds:uri="http://schemas.openxmlformats.org/package/2006/metadata/core-properties"/>
    <ds:schemaRef ds:uri="http://schemas.microsoft.com/office/infopath/2007/PartnerControls"/>
    <ds:schemaRef ds:uri="956f8374-eac6-4c01-9e9a-c7d7573af74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鎌</cp:lastModifiedBy>
  <cp:revision>4</cp:revision>
  <dcterms:created xsi:type="dcterms:W3CDTF">2025-08-25T06:29:00Z</dcterms:created>
  <dcterms:modified xsi:type="dcterms:W3CDTF">2025-09-01T05:44:00Z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