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9073C9" w:rsidRDefault="009073C9" w:rsidP="009073C9">
      <w:pPr>
        <w:jc w:val="left"/>
        <w:rPr>
          <w:u w:val="single"/>
        </w:rPr>
      </w:pPr>
      <w:r w:rsidRPr="00014176">
        <w:rPr>
          <w:rFonts w:hint="eastAsia"/>
        </w:rPr>
        <w:t>様式７</w:t>
      </w:r>
      <w:r w:rsidRPr="009073C9">
        <w:rPr>
          <w:rFonts w:hint="eastAsia"/>
        </w:rPr>
        <w:t xml:space="preserve">　　　　　　　　</w: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3A3900">
        <w:rPr>
          <w:rFonts w:hint="eastAsia"/>
          <w:u w:val="single"/>
        </w:rPr>
        <w:t xml:space="preserve">　令和７</w:t>
      </w:r>
      <w:bookmarkStart w:id="0" w:name="_GoBack"/>
      <w:bookmarkEnd w:id="0"/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00" w:rsidRDefault="003A3900" w:rsidP="003A3900">
      <w:r>
        <w:separator/>
      </w:r>
    </w:p>
  </w:endnote>
  <w:endnote w:type="continuationSeparator" w:id="0">
    <w:p w:rsidR="003A3900" w:rsidRDefault="003A3900" w:rsidP="003A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00" w:rsidRDefault="003A3900" w:rsidP="003A3900">
      <w:r>
        <w:separator/>
      </w:r>
    </w:p>
  </w:footnote>
  <w:footnote w:type="continuationSeparator" w:id="0">
    <w:p w:rsidR="003A3900" w:rsidRDefault="003A3900" w:rsidP="003A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14176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00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073C9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48ABA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C9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3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900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3A3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900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菅沼　龍耶</cp:lastModifiedBy>
  <cp:revision>2</cp:revision>
  <dcterms:created xsi:type="dcterms:W3CDTF">2025-07-11T06:41:00Z</dcterms:created>
  <dcterms:modified xsi:type="dcterms:W3CDTF">2025-07-11T06:41:00Z</dcterms:modified>
</cp:coreProperties>
</file>