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17" w:rsidRDefault="00115B28">
      <w:r>
        <w:rPr>
          <w:noProof/>
        </w:rPr>
        <w:pict>
          <v:shapetype id="_x0000_t202" coordsize="21600,21600" o:spt="202" path="m,l,21600r21600,l21600,xe">
            <v:stroke joinstyle="miter"/>
            <v:path gradientshapeok="t" o:connecttype="rect"/>
          </v:shapetype>
          <v:shape id="_x0000_s1026" type="#_x0000_t202" style="position:absolute;left:0;text-align:left;margin-left:5.25pt;margin-top:0;width:529.65pt;height:796.75pt;z-index:251657728" stroked="f">
            <v:textbox style="mso-next-textbox:#_x0000_s1026" inset="5.85pt,.7pt,5.85pt,.7pt">
              <w:txbxContent>
                <w:p w:rsidR="00D62D17" w:rsidRPr="00115B28" w:rsidRDefault="00D62D17" w:rsidP="00561BD3">
                  <w:pPr>
                    <w:jc w:val="center"/>
                    <w:rPr>
                      <w:sz w:val="18"/>
                      <w:szCs w:val="18"/>
                    </w:rPr>
                  </w:pPr>
                  <w:r w:rsidRPr="00115B28">
                    <w:rPr>
                      <w:rFonts w:hint="eastAsia"/>
                      <w:sz w:val="18"/>
                      <w:szCs w:val="18"/>
                    </w:rPr>
                    <w:t>製造計画書</w:t>
                  </w:r>
                  <w:r w:rsidR="00AE5BE9" w:rsidRPr="00115B28">
                    <w:rPr>
                      <w:rFonts w:hint="eastAsia"/>
                      <w:sz w:val="18"/>
                      <w:szCs w:val="18"/>
                    </w:rPr>
                    <w:t>（フルオロカーボン移充てん用）</w:t>
                  </w:r>
                </w:p>
                <w:p w:rsidR="00D62D17" w:rsidRPr="00115B28" w:rsidRDefault="00D62D17" w:rsidP="00561BD3">
                  <w:pPr>
                    <w:rPr>
                      <w:sz w:val="18"/>
                      <w:szCs w:val="18"/>
                    </w:rPr>
                  </w:pPr>
                </w:p>
                <w:p w:rsidR="00D62D17" w:rsidRPr="00115B28" w:rsidRDefault="00D62D17" w:rsidP="00561BD3">
                  <w:pPr>
                    <w:rPr>
                      <w:sz w:val="18"/>
                      <w:szCs w:val="18"/>
                    </w:rPr>
                  </w:pPr>
                  <w:r w:rsidRPr="00115B28">
                    <w:rPr>
                      <w:rFonts w:hint="eastAsia"/>
                      <w:sz w:val="18"/>
                      <w:szCs w:val="18"/>
                    </w:rPr>
                    <w:t>１　製造の目的</w:t>
                  </w:r>
                </w:p>
                <w:p w:rsidR="00D62D17" w:rsidRPr="00115B28" w:rsidRDefault="00D62D17" w:rsidP="00561BD3">
                  <w:pPr>
                    <w:rPr>
                      <w:sz w:val="18"/>
                      <w:szCs w:val="18"/>
                    </w:rPr>
                  </w:pPr>
                </w:p>
                <w:p w:rsidR="00D62D17" w:rsidRPr="00115B28" w:rsidRDefault="00D62D17" w:rsidP="00561BD3">
                  <w:pPr>
                    <w:rPr>
                      <w:sz w:val="18"/>
                      <w:szCs w:val="18"/>
                    </w:rPr>
                  </w:pPr>
                </w:p>
                <w:p w:rsidR="00D62D17" w:rsidRPr="00115B28" w:rsidRDefault="00D62D17" w:rsidP="00561BD3">
                  <w:pPr>
                    <w:rPr>
                      <w:sz w:val="18"/>
                      <w:szCs w:val="18"/>
                    </w:rPr>
                  </w:pPr>
                </w:p>
                <w:p w:rsidR="00D62D17" w:rsidRPr="00115B28" w:rsidRDefault="00D62D17" w:rsidP="00561BD3">
                  <w:pPr>
                    <w:rPr>
                      <w:sz w:val="18"/>
                      <w:szCs w:val="18"/>
                    </w:rPr>
                  </w:pPr>
                  <w:r w:rsidRPr="00115B28">
                    <w:rPr>
                      <w:rFonts w:hint="eastAsia"/>
                      <w:sz w:val="18"/>
                      <w:szCs w:val="18"/>
                    </w:rPr>
                    <w:t>２　処理能力（㎥／日）</w:t>
                  </w:r>
                </w:p>
                <w:p w:rsidR="00D62D17" w:rsidRPr="00115B28" w:rsidRDefault="00D62D17" w:rsidP="00561BD3">
                  <w:pPr>
                    <w:rPr>
                      <w:sz w:val="18"/>
                      <w:szCs w:val="18"/>
                    </w:rPr>
                  </w:pPr>
                </w:p>
                <w:p w:rsidR="00D62D17" w:rsidRPr="00115B28" w:rsidRDefault="00D62D17" w:rsidP="00561BD3">
                  <w:pPr>
                    <w:rPr>
                      <w:sz w:val="18"/>
                      <w:szCs w:val="18"/>
                    </w:rPr>
                  </w:pPr>
                </w:p>
                <w:p w:rsidR="00D62D17" w:rsidRPr="00115B28" w:rsidRDefault="00D62D17" w:rsidP="00561BD3">
                  <w:pPr>
                    <w:rPr>
                      <w:sz w:val="18"/>
                      <w:szCs w:val="18"/>
                    </w:rPr>
                  </w:pPr>
                  <w:r w:rsidRPr="00115B28">
                    <w:rPr>
                      <w:rFonts w:hint="eastAsia"/>
                      <w:sz w:val="18"/>
                      <w:szCs w:val="18"/>
                    </w:rPr>
                    <w:t>３　高圧ガス設備等の概要</w:t>
                  </w:r>
                </w:p>
                <w:p w:rsidR="00D62D17" w:rsidRPr="00115B28" w:rsidRDefault="00D62D17" w:rsidP="00561BD3">
                  <w:pPr>
                    <w:rPr>
                      <w:sz w:val="18"/>
                      <w:szCs w:val="18"/>
                    </w:rPr>
                  </w:pPr>
                </w:p>
                <w:p w:rsidR="00D62D17" w:rsidRPr="00115B28" w:rsidRDefault="00D62D17" w:rsidP="00561BD3">
                  <w:pPr>
                    <w:rPr>
                      <w:rFonts w:hint="eastAsia"/>
                      <w:sz w:val="18"/>
                      <w:szCs w:val="18"/>
                    </w:rPr>
                  </w:pPr>
                </w:p>
                <w:p w:rsidR="00D62D17" w:rsidRPr="00115B28" w:rsidRDefault="00AE5BE9" w:rsidP="00561BD3">
                  <w:pPr>
                    <w:rPr>
                      <w:sz w:val="18"/>
                      <w:szCs w:val="18"/>
                    </w:rPr>
                  </w:pPr>
                  <w:r w:rsidRPr="00115B28">
                    <w:rPr>
                      <w:rFonts w:hint="eastAsia"/>
                      <w:sz w:val="18"/>
                      <w:szCs w:val="18"/>
                    </w:rPr>
                    <w:t>４　一般高圧ガス保安規則第</w:t>
                  </w:r>
                  <w:r w:rsidRPr="00115B28">
                    <w:rPr>
                      <w:rFonts w:hint="eastAsia"/>
                      <w:sz w:val="18"/>
                      <w:szCs w:val="18"/>
                    </w:rPr>
                    <w:t>12</w:t>
                  </w:r>
                  <w:r w:rsidR="0029224C" w:rsidRPr="00115B28">
                    <w:rPr>
                      <w:rFonts w:hint="eastAsia"/>
                      <w:sz w:val="18"/>
                      <w:szCs w:val="18"/>
                    </w:rPr>
                    <w:t>条の技術上の基準に対応する</w:t>
                  </w:r>
                  <w:r w:rsidR="00D62D17" w:rsidRPr="00115B28">
                    <w:rPr>
                      <w:rFonts w:hint="eastAsia"/>
                      <w:sz w:val="18"/>
                      <w:szCs w:val="18"/>
                    </w:rPr>
                    <w:t>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1470"/>
                    <w:gridCol w:w="4935"/>
                    <w:gridCol w:w="1984"/>
                  </w:tblGrid>
                  <w:tr w:rsidR="00D62D17" w:rsidRPr="00B06871" w:rsidTr="00420D05">
                    <w:trPr>
                      <w:cantSplit/>
                      <w:trHeight w:val="531"/>
                      <w:jc w:val="center"/>
                    </w:trPr>
                    <w:tc>
                      <w:tcPr>
                        <w:tcW w:w="1616" w:type="dxa"/>
                        <w:vAlign w:val="center"/>
                      </w:tcPr>
                      <w:p w:rsidR="00D62D17" w:rsidRPr="00115B28" w:rsidRDefault="00D62D17" w:rsidP="00B06871">
                        <w:pPr>
                          <w:jc w:val="center"/>
                          <w:rPr>
                            <w:sz w:val="18"/>
                            <w:szCs w:val="18"/>
                          </w:rPr>
                        </w:pPr>
                        <w:r w:rsidRPr="00115B28">
                          <w:rPr>
                            <w:rFonts w:hint="eastAsia"/>
                            <w:sz w:val="18"/>
                            <w:szCs w:val="18"/>
                          </w:rPr>
                          <w:t>適用法令</w:t>
                        </w:r>
                      </w:p>
                    </w:tc>
                    <w:tc>
                      <w:tcPr>
                        <w:tcW w:w="1470" w:type="dxa"/>
                        <w:vAlign w:val="center"/>
                      </w:tcPr>
                      <w:p w:rsidR="00D62D17" w:rsidRPr="00115B28" w:rsidRDefault="00D62D17" w:rsidP="00B06871">
                        <w:pPr>
                          <w:jc w:val="center"/>
                          <w:rPr>
                            <w:sz w:val="18"/>
                            <w:szCs w:val="18"/>
                          </w:rPr>
                        </w:pPr>
                        <w:r w:rsidRPr="00115B28">
                          <w:rPr>
                            <w:rFonts w:hint="eastAsia"/>
                            <w:sz w:val="18"/>
                            <w:szCs w:val="18"/>
                          </w:rPr>
                          <w:t>準用条項</w:t>
                        </w:r>
                      </w:p>
                    </w:tc>
                    <w:tc>
                      <w:tcPr>
                        <w:tcW w:w="4935" w:type="dxa"/>
                        <w:vAlign w:val="center"/>
                      </w:tcPr>
                      <w:p w:rsidR="00D62D17" w:rsidRPr="00115B28" w:rsidRDefault="00D62D17" w:rsidP="00B06871">
                        <w:pPr>
                          <w:jc w:val="center"/>
                          <w:rPr>
                            <w:sz w:val="18"/>
                            <w:szCs w:val="18"/>
                          </w:rPr>
                        </w:pPr>
                        <w:r w:rsidRPr="00115B28">
                          <w:rPr>
                            <w:rFonts w:hint="eastAsia"/>
                            <w:sz w:val="18"/>
                            <w:szCs w:val="18"/>
                          </w:rPr>
                          <w:t>基準</w:t>
                        </w:r>
                      </w:p>
                    </w:tc>
                    <w:tc>
                      <w:tcPr>
                        <w:tcW w:w="1984" w:type="dxa"/>
                        <w:vAlign w:val="center"/>
                      </w:tcPr>
                      <w:p w:rsidR="00D62D17" w:rsidRPr="00115B28" w:rsidRDefault="00D62D17" w:rsidP="00B06871">
                        <w:pPr>
                          <w:jc w:val="center"/>
                          <w:rPr>
                            <w:sz w:val="18"/>
                            <w:szCs w:val="18"/>
                          </w:rPr>
                        </w:pPr>
                        <w:r w:rsidRPr="00115B28">
                          <w:rPr>
                            <w:rFonts w:hint="eastAsia"/>
                            <w:sz w:val="18"/>
                            <w:szCs w:val="18"/>
                          </w:rPr>
                          <w:t>対応状況</w:t>
                        </w:r>
                      </w:p>
                    </w:tc>
                  </w:tr>
                  <w:tr w:rsidR="00D62D17" w:rsidRPr="00B06871" w:rsidTr="00420D05">
                    <w:trPr>
                      <w:cantSplit/>
                      <w:trHeight w:val="945"/>
                      <w:jc w:val="center"/>
                    </w:trPr>
                    <w:tc>
                      <w:tcPr>
                        <w:tcW w:w="1616" w:type="dxa"/>
                        <w:vMerge w:val="restart"/>
                        <w:vAlign w:val="center"/>
                      </w:tcPr>
                      <w:p w:rsidR="00D62D17" w:rsidRPr="00115B28" w:rsidRDefault="00D62D17" w:rsidP="00CC7096">
                        <w:pPr>
                          <w:rPr>
                            <w:sz w:val="18"/>
                            <w:szCs w:val="18"/>
                          </w:rPr>
                        </w:pPr>
                        <w:r w:rsidRPr="00115B28">
                          <w:rPr>
                            <w:rFonts w:hint="eastAsia"/>
                            <w:sz w:val="18"/>
                            <w:szCs w:val="18"/>
                          </w:rPr>
                          <w:t>一般則第１２条第１項第２号</w:t>
                        </w:r>
                      </w:p>
                    </w:tc>
                    <w:tc>
                      <w:tcPr>
                        <w:tcW w:w="1470" w:type="dxa"/>
                        <w:vAlign w:val="center"/>
                      </w:tcPr>
                      <w:p w:rsidR="00D62D17" w:rsidRPr="00115B28" w:rsidRDefault="00D62D17" w:rsidP="00CC7096">
                        <w:pPr>
                          <w:rPr>
                            <w:sz w:val="18"/>
                            <w:szCs w:val="18"/>
                          </w:rPr>
                        </w:pPr>
                        <w:r w:rsidRPr="00115B28">
                          <w:rPr>
                            <w:rFonts w:hint="eastAsia"/>
                            <w:sz w:val="18"/>
                            <w:szCs w:val="18"/>
                          </w:rPr>
                          <w:t>第８条第１項第１号</w:t>
                        </w:r>
                      </w:p>
                    </w:tc>
                    <w:tc>
                      <w:tcPr>
                        <w:tcW w:w="4935" w:type="dxa"/>
                        <w:vAlign w:val="center"/>
                      </w:tcPr>
                      <w:p w:rsidR="00D62D17" w:rsidRPr="00115B28" w:rsidRDefault="00AE5BE9" w:rsidP="00CC7096">
                        <w:pPr>
                          <w:rPr>
                            <w:sz w:val="18"/>
                            <w:szCs w:val="18"/>
                          </w:rPr>
                        </w:pPr>
                        <w:r w:rsidRPr="00115B28">
                          <w:rPr>
                            <w:rFonts w:hint="eastAsia"/>
                            <w:sz w:val="18"/>
                            <w:szCs w:val="18"/>
                          </w:rPr>
                          <w:t>製造施設は、引火性又は発火性の物をたい積した場所の付近にないこと。</w:t>
                        </w:r>
                      </w:p>
                    </w:tc>
                    <w:tc>
                      <w:tcPr>
                        <w:tcW w:w="1984" w:type="dxa"/>
                        <w:vAlign w:val="center"/>
                      </w:tcPr>
                      <w:p w:rsidR="00D62D17" w:rsidRPr="00115B28" w:rsidRDefault="00D62D17" w:rsidP="00CC7096">
                        <w:pPr>
                          <w:rPr>
                            <w:sz w:val="18"/>
                            <w:szCs w:val="18"/>
                          </w:rPr>
                        </w:pPr>
                      </w:p>
                    </w:tc>
                  </w:tr>
                  <w:tr w:rsidR="00AE5BE9" w:rsidRPr="00B06871" w:rsidTr="00420D05">
                    <w:trPr>
                      <w:cantSplit/>
                      <w:trHeight w:val="945"/>
                      <w:jc w:val="center"/>
                    </w:trPr>
                    <w:tc>
                      <w:tcPr>
                        <w:tcW w:w="1616" w:type="dxa"/>
                        <w:vMerge/>
                        <w:vAlign w:val="center"/>
                      </w:tcPr>
                      <w:p w:rsidR="00AE5BE9" w:rsidRPr="00115B28" w:rsidRDefault="00AE5BE9" w:rsidP="00AE5BE9">
                        <w:pPr>
                          <w:rPr>
                            <w:rFonts w:hint="eastAsia"/>
                            <w:sz w:val="18"/>
                            <w:szCs w:val="18"/>
                          </w:rPr>
                        </w:pPr>
                      </w:p>
                    </w:tc>
                    <w:tc>
                      <w:tcPr>
                        <w:tcW w:w="1470" w:type="dxa"/>
                        <w:vAlign w:val="center"/>
                      </w:tcPr>
                      <w:p w:rsidR="00AE5BE9" w:rsidRPr="00115B28" w:rsidRDefault="00AE5BE9" w:rsidP="00AE5BE9">
                        <w:pPr>
                          <w:rPr>
                            <w:sz w:val="18"/>
                            <w:szCs w:val="18"/>
                          </w:rPr>
                        </w:pPr>
                        <w:r w:rsidRPr="00115B28">
                          <w:rPr>
                            <w:rFonts w:hint="eastAsia"/>
                            <w:sz w:val="18"/>
                            <w:szCs w:val="18"/>
                          </w:rPr>
                          <w:t>第８条第１項第２号</w:t>
                        </w:r>
                      </w:p>
                    </w:tc>
                    <w:tc>
                      <w:tcPr>
                        <w:tcW w:w="4935" w:type="dxa"/>
                        <w:vAlign w:val="center"/>
                      </w:tcPr>
                      <w:p w:rsidR="00AE5BE9" w:rsidRPr="00115B28" w:rsidRDefault="00AE5BE9" w:rsidP="00AE5BE9">
                        <w:pPr>
                          <w:rPr>
                            <w:sz w:val="18"/>
                            <w:szCs w:val="18"/>
                          </w:rPr>
                        </w:pPr>
                        <w:r w:rsidRPr="00115B28">
                          <w:rPr>
                            <w:rFonts w:hint="eastAsia"/>
                            <w:sz w:val="18"/>
                            <w:szCs w:val="18"/>
                          </w:rPr>
                          <w:t>製造施設には、製造作業中その外部から見やすいように警戒標を掲げること。</w:t>
                        </w:r>
                      </w:p>
                    </w:tc>
                    <w:tc>
                      <w:tcPr>
                        <w:tcW w:w="1984" w:type="dxa"/>
                        <w:vAlign w:val="center"/>
                      </w:tcPr>
                      <w:p w:rsidR="00AE5BE9" w:rsidRPr="00115B28" w:rsidRDefault="00AE5BE9" w:rsidP="00AE5BE9">
                        <w:pPr>
                          <w:rPr>
                            <w:sz w:val="18"/>
                            <w:szCs w:val="18"/>
                          </w:rPr>
                        </w:pPr>
                      </w:p>
                    </w:tc>
                  </w:tr>
                  <w:tr w:rsidR="00D62D17" w:rsidRPr="00B06871" w:rsidTr="00AE5BE9">
                    <w:trPr>
                      <w:cantSplit/>
                      <w:trHeight w:val="945"/>
                      <w:jc w:val="center"/>
                    </w:trPr>
                    <w:tc>
                      <w:tcPr>
                        <w:tcW w:w="1616" w:type="dxa"/>
                        <w:vMerge/>
                        <w:vAlign w:val="center"/>
                      </w:tcPr>
                      <w:p w:rsidR="00D62D17" w:rsidRPr="00115B28" w:rsidRDefault="00D62D17" w:rsidP="00CC7096">
                        <w:pPr>
                          <w:rPr>
                            <w:sz w:val="18"/>
                            <w:szCs w:val="18"/>
                          </w:rPr>
                        </w:pPr>
                      </w:p>
                    </w:tc>
                    <w:tc>
                      <w:tcPr>
                        <w:tcW w:w="1470" w:type="dxa"/>
                        <w:tcBorders>
                          <w:bottom w:val="single" w:sz="4" w:space="0" w:color="auto"/>
                        </w:tcBorders>
                        <w:vAlign w:val="center"/>
                      </w:tcPr>
                      <w:p w:rsidR="00D62D17" w:rsidRPr="00115B28" w:rsidRDefault="00AE5BE9" w:rsidP="00691513">
                        <w:pPr>
                          <w:rPr>
                            <w:sz w:val="18"/>
                            <w:szCs w:val="18"/>
                          </w:rPr>
                        </w:pPr>
                        <w:r w:rsidRPr="00115B28">
                          <w:rPr>
                            <w:rFonts w:hint="eastAsia"/>
                            <w:sz w:val="18"/>
                            <w:szCs w:val="18"/>
                          </w:rPr>
                          <w:t>第８条第１項第４</w:t>
                        </w:r>
                        <w:r w:rsidR="00D62D17" w:rsidRPr="00115B28">
                          <w:rPr>
                            <w:rFonts w:hint="eastAsia"/>
                            <w:sz w:val="18"/>
                            <w:szCs w:val="18"/>
                          </w:rPr>
                          <w:t>号</w:t>
                        </w:r>
                      </w:p>
                    </w:tc>
                    <w:tc>
                      <w:tcPr>
                        <w:tcW w:w="4935" w:type="dxa"/>
                        <w:vAlign w:val="center"/>
                      </w:tcPr>
                      <w:p w:rsidR="00D62D17" w:rsidRPr="00115B28" w:rsidRDefault="00AE5BE9" w:rsidP="00CC7096">
                        <w:pPr>
                          <w:rPr>
                            <w:sz w:val="18"/>
                            <w:szCs w:val="18"/>
                          </w:rPr>
                        </w:pPr>
                        <w:r w:rsidRPr="00115B28">
                          <w:rPr>
                            <w:rFonts w:hint="eastAsia"/>
                            <w:sz w:val="18"/>
                            <w:szCs w:val="18"/>
                          </w:rPr>
                          <w:t>可燃性ガス、特定不活性ガスの製造施設には、その規模に応じて、適切な消火設備を適切な箇所に設けること。</w:t>
                        </w:r>
                      </w:p>
                    </w:tc>
                    <w:tc>
                      <w:tcPr>
                        <w:tcW w:w="1984" w:type="dxa"/>
                        <w:vAlign w:val="center"/>
                      </w:tcPr>
                      <w:p w:rsidR="00D62D17" w:rsidRPr="00115B28" w:rsidRDefault="00D62D17" w:rsidP="00CC7096">
                        <w:pPr>
                          <w:rPr>
                            <w:sz w:val="18"/>
                            <w:szCs w:val="18"/>
                          </w:rPr>
                        </w:pPr>
                      </w:p>
                    </w:tc>
                  </w:tr>
                  <w:tr w:rsidR="00D62D17" w:rsidRPr="00B06871" w:rsidTr="00AE5BE9">
                    <w:trPr>
                      <w:cantSplit/>
                      <w:trHeight w:val="945"/>
                      <w:jc w:val="center"/>
                    </w:trPr>
                    <w:tc>
                      <w:tcPr>
                        <w:tcW w:w="1616" w:type="dxa"/>
                        <w:vAlign w:val="center"/>
                      </w:tcPr>
                      <w:p w:rsidR="00D62D17" w:rsidRPr="00115B28" w:rsidRDefault="00D62D17" w:rsidP="00691513">
                        <w:pPr>
                          <w:rPr>
                            <w:sz w:val="18"/>
                            <w:szCs w:val="18"/>
                          </w:rPr>
                        </w:pPr>
                        <w:r w:rsidRPr="00115B28">
                          <w:rPr>
                            <w:rFonts w:hint="eastAsia"/>
                            <w:sz w:val="18"/>
                            <w:szCs w:val="18"/>
                          </w:rPr>
                          <w:t>一般則第１２条第２項第１号</w:t>
                        </w:r>
                      </w:p>
                    </w:tc>
                    <w:tc>
                      <w:tcPr>
                        <w:tcW w:w="1470" w:type="dxa"/>
                        <w:tcBorders>
                          <w:tr2bl w:val="nil"/>
                        </w:tcBorders>
                        <w:vAlign w:val="center"/>
                      </w:tcPr>
                      <w:p w:rsidR="00D62D17" w:rsidRPr="00115B28" w:rsidRDefault="00D62D17" w:rsidP="00CC7096">
                        <w:pPr>
                          <w:rPr>
                            <w:sz w:val="18"/>
                            <w:szCs w:val="18"/>
                          </w:rPr>
                        </w:pPr>
                      </w:p>
                    </w:tc>
                    <w:tc>
                      <w:tcPr>
                        <w:tcW w:w="4935" w:type="dxa"/>
                        <w:vAlign w:val="center"/>
                      </w:tcPr>
                      <w:p w:rsidR="00D62D17" w:rsidRPr="00115B28" w:rsidRDefault="00D62D17" w:rsidP="00CC7096">
                        <w:pPr>
                          <w:rPr>
                            <w:sz w:val="18"/>
                            <w:szCs w:val="18"/>
                          </w:rPr>
                        </w:pPr>
                        <w:r w:rsidRPr="00115B28">
                          <w:rPr>
                            <w:rFonts w:hint="eastAsia"/>
                            <w:sz w:val="18"/>
                            <w:szCs w:val="18"/>
                          </w:rPr>
                          <w:t>高圧ガスを容器に充てんするときは、火気を取り扱う場所、多数の人の集合する場所又は引火性若しくは発火性の物をたい積した場所から５ｍ以内でしないこと。</w:t>
                        </w:r>
                      </w:p>
                    </w:tc>
                    <w:tc>
                      <w:tcPr>
                        <w:tcW w:w="1984" w:type="dxa"/>
                        <w:vAlign w:val="center"/>
                      </w:tcPr>
                      <w:p w:rsidR="00D62D17" w:rsidRPr="00115B28" w:rsidRDefault="00D62D17" w:rsidP="00CC7096">
                        <w:pPr>
                          <w:rPr>
                            <w:sz w:val="18"/>
                            <w:szCs w:val="18"/>
                          </w:rPr>
                        </w:pPr>
                      </w:p>
                    </w:tc>
                  </w:tr>
                  <w:tr w:rsidR="00AE5BE9" w:rsidRPr="00B06871" w:rsidTr="00420D05">
                    <w:trPr>
                      <w:cantSplit/>
                      <w:trHeight w:val="945"/>
                      <w:jc w:val="center"/>
                    </w:trPr>
                    <w:tc>
                      <w:tcPr>
                        <w:tcW w:w="1616" w:type="dxa"/>
                        <w:vMerge w:val="restart"/>
                        <w:vAlign w:val="center"/>
                      </w:tcPr>
                      <w:p w:rsidR="00AE5BE9" w:rsidRPr="00115B28" w:rsidRDefault="00AE5BE9" w:rsidP="00691513">
                        <w:pPr>
                          <w:rPr>
                            <w:sz w:val="18"/>
                            <w:szCs w:val="18"/>
                          </w:rPr>
                        </w:pPr>
                      </w:p>
                      <w:p w:rsidR="00AE5BE9" w:rsidRPr="00115B28" w:rsidRDefault="00AE5BE9" w:rsidP="00691513">
                        <w:pPr>
                          <w:rPr>
                            <w:sz w:val="18"/>
                            <w:szCs w:val="18"/>
                          </w:rPr>
                        </w:pPr>
                        <w:r w:rsidRPr="00115B28">
                          <w:rPr>
                            <w:rFonts w:hint="eastAsia"/>
                            <w:sz w:val="18"/>
                            <w:szCs w:val="18"/>
                          </w:rPr>
                          <w:t>一般則第１２条第２項第２号</w:t>
                        </w:r>
                      </w:p>
                    </w:tc>
                    <w:tc>
                      <w:tcPr>
                        <w:tcW w:w="1470" w:type="dxa"/>
                        <w:vAlign w:val="center"/>
                      </w:tcPr>
                      <w:p w:rsidR="00AE5BE9" w:rsidRPr="00115B28" w:rsidRDefault="00AE5BE9" w:rsidP="00691513">
                        <w:pPr>
                          <w:rPr>
                            <w:sz w:val="18"/>
                            <w:szCs w:val="18"/>
                          </w:rPr>
                        </w:pPr>
                        <w:r w:rsidRPr="00115B28">
                          <w:rPr>
                            <w:rFonts w:hint="eastAsia"/>
                            <w:sz w:val="18"/>
                            <w:szCs w:val="18"/>
                          </w:rPr>
                          <w:t>一般則第６条第２項第４号</w:t>
                        </w:r>
                      </w:p>
                    </w:tc>
                    <w:tc>
                      <w:tcPr>
                        <w:tcW w:w="4935" w:type="dxa"/>
                        <w:vAlign w:val="center"/>
                      </w:tcPr>
                      <w:p w:rsidR="00AE5BE9" w:rsidRPr="00115B28" w:rsidRDefault="00AE5BE9" w:rsidP="00CC7096">
                        <w:pPr>
                          <w:rPr>
                            <w:sz w:val="18"/>
                            <w:szCs w:val="18"/>
                          </w:rPr>
                        </w:pPr>
                        <w:r w:rsidRPr="00115B28">
                          <w:rPr>
                            <w:rFonts w:hint="eastAsia"/>
                            <w:sz w:val="18"/>
                            <w:szCs w:val="18"/>
                          </w:rPr>
                          <w:t>高圧ガスの製造は、製造設備の使用開始時及び使用終了時に以上の有無を確認する他、１日に１回以上製造設備の作動状況を点検し、異常のある時は、危険を防止する措置を講じること。</w:t>
                        </w:r>
                      </w:p>
                    </w:tc>
                    <w:tc>
                      <w:tcPr>
                        <w:tcW w:w="1984" w:type="dxa"/>
                        <w:vAlign w:val="center"/>
                      </w:tcPr>
                      <w:p w:rsidR="00AE5BE9" w:rsidRPr="00115B28" w:rsidRDefault="00AE5BE9" w:rsidP="00CC7096">
                        <w:pPr>
                          <w:rPr>
                            <w:sz w:val="18"/>
                            <w:szCs w:val="18"/>
                          </w:rPr>
                        </w:pPr>
                      </w:p>
                    </w:tc>
                  </w:tr>
                  <w:tr w:rsidR="00AE5BE9" w:rsidRPr="00B06871" w:rsidTr="00420D05">
                    <w:trPr>
                      <w:cantSplit/>
                      <w:trHeight w:val="945"/>
                      <w:jc w:val="center"/>
                    </w:trPr>
                    <w:tc>
                      <w:tcPr>
                        <w:tcW w:w="1616" w:type="dxa"/>
                        <w:vMerge/>
                        <w:vAlign w:val="center"/>
                      </w:tcPr>
                      <w:p w:rsidR="00AE5BE9" w:rsidRPr="00115B28" w:rsidRDefault="00AE5BE9" w:rsidP="00691513">
                        <w:pPr>
                          <w:rPr>
                            <w:sz w:val="18"/>
                            <w:szCs w:val="18"/>
                          </w:rPr>
                        </w:pPr>
                      </w:p>
                    </w:tc>
                    <w:tc>
                      <w:tcPr>
                        <w:tcW w:w="1470" w:type="dxa"/>
                        <w:vAlign w:val="center"/>
                      </w:tcPr>
                      <w:p w:rsidR="00AE5BE9" w:rsidRPr="00115B28" w:rsidRDefault="00AE5BE9" w:rsidP="00691513">
                        <w:pPr>
                          <w:rPr>
                            <w:sz w:val="18"/>
                            <w:szCs w:val="18"/>
                          </w:rPr>
                        </w:pPr>
                        <w:r w:rsidRPr="00115B28">
                          <w:rPr>
                            <w:rFonts w:hint="eastAsia"/>
                            <w:sz w:val="18"/>
                            <w:szCs w:val="18"/>
                          </w:rPr>
                          <w:t>一般則第６条第２項第５号</w:t>
                        </w:r>
                      </w:p>
                    </w:tc>
                    <w:tc>
                      <w:tcPr>
                        <w:tcW w:w="4935" w:type="dxa"/>
                        <w:vAlign w:val="center"/>
                      </w:tcPr>
                      <w:p w:rsidR="00AE5BE9" w:rsidRPr="00115B28" w:rsidRDefault="00AE5BE9" w:rsidP="00691513">
                        <w:pPr>
                          <w:rPr>
                            <w:sz w:val="18"/>
                            <w:szCs w:val="18"/>
                          </w:rPr>
                        </w:pPr>
                        <w:r w:rsidRPr="00115B28">
                          <w:rPr>
                            <w:rFonts w:hint="eastAsia"/>
                            <w:sz w:val="18"/>
                            <w:szCs w:val="18"/>
                          </w:rPr>
                          <w:t>ガス設備の修理又は清掃は、予め作業の責任者を定め、作業計画書に従い、作業責任者の監視の下に行うこと。また、修理等が終了</w:t>
                        </w:r>
                        <w:r w:rsidR="00115B28" w:rsidRPr="00115B28">
                          <w:rPr>
                            <w:rFonts w:hint="eastAsia"/>
                            <w:sz w:val="18"/>
                            <w:szCs w:val="18"/>
                          </w:rPr>
                          <w:t>した時は、当該ガス設備が正常に作動することを確認した後でなければ製造をしないこと。</w:t>
                        </w:r>
                      </w:p>
                    </w:tc>
                    <w:tc>
                      <w:tcPr>
                        <w:tcW w:w="1984" w:type="dxa"/>
                        <w:vAlign w:val="center"/>
                      </w:tcPr>
                      <w:p w:rsidR="00AE5BE9" w:rsidRPr="00115B28" w:rsidRDefault="00AE5BE9" w:rsidP="00CC7096">
                        <w:pPr>
                          <w:rPr>
                            <w:sz w:val="18"/>
                            <w:szCs w:val="18"/>
                          </w:rPr>
                        </w:pPr>
                      </w:p>
                    </w:tc>
                  </w:tr>
                  <w:tr w:rsidR="00AE5BE9" w:rsidRPr="00B06871" w:rsidTr="00420D05">
                    <w:trPr>
                      <w:cantSplit/>
                      <w:trHeight w:val="945"/>
                      <w:jc w:val="center"/>
                    </w:trPr>
                    <w:tc>
                      <w:tcPr>
                        <w:tcW w:w="1616" w:type="dxa"/>
                        <w:vMerge/>
                        <w:vAlign w:val="center"/>
                      </w:tcPr>
                      <w:p w:rsidR="00AE5BE9" w:rsidRPr="00115B28" w:rsidRDefault="00AE5BE9" w:rsidP="00691513">
                        <w:pPr>
                          <w:rPr>
                            <w:sz w:val="18"/>
                            <w:szCs w:val="18"/>
                          </w:rPr>
                        </w:pPr>
                      </w:p>
                    </w:tc>
                    <w:tc>
                      <w:tcPr>
                        <w:tcW w:w="1470" w:type="dxa"/>
                        <w:vAlign w:val="center"/>
                      </w:tcPr>
                      <w:p w:rsidR="00AE5BE9" w:rsidRPr="00115B28" w:rsidRDefault="00AE5BE9" w:rsidP="00691513">
                        <w:pPr>
                          <w:rPr>
                            <w:sz w:val="18"/>
                            <w:szCs w:val="18"/>
                          </w:rPr>
                        </w:pPr>
                        <w:r w:rsidRPr="00115B28">
                          <w:rPr>
                            <w:rFonts w:hint="eastAsia"/>
                            <w:sz w:val="18"/>
                            <w:szCs w:val="18"/>
                          </w:rPr>
                          <w:t>一般則第６条第２項第６号</w:t>
                        </w:r>
                      </w:p>
                    </w:tc>
                    <w:tc>
                      <w:tcPr>
                        <w:tcW w:w="4935" w:type="dxa"/>
                        <w:vAlign w:val="center"/>
                      </w:tcPr>
                      <w:p w:rsidR="00AE5BE9" w:rsidRPr="00115B28" w:rsidRDefault="00AE5BE9" w:rsidP="00691513">
                        <w:pPr>
                          <w:rPr>
                            <w:sz w:val="18"/>
                            <w:szCs w:val="18"/>
                          </w:rPr>
                        </w:pPr>
                        <w:r w:rsidRPr="00115B28">
                          <w:rPr>
                            <w:rFonts w:hint="eastAsia"/>
                            <w:sz w:val="18"/>
                            <w:szCs w:val="18"/>
                          </w:rPr>
                          <w:t>製造設備に設けたバルブを操作する場合には、過大な力を加えないよう必要な措置を講ずること。</w:t>
                        </w:r>
                      </w:p>
                    </w:tc>
                    <w:tc>
                      <w:tcPr>
                        <w:tcW w:w="1984" w:type="dxa"/>
                        <w:vAlign w:val="center"/>
                      </w:tcPr>
                      <w:p w:rsidR="00AE5BE9" w:rsidRPr="00115B28" w:rsidRDefault="00AE5BE9" w:rsidP="00CC7096">
                        <w:pPr>
                          <w:rPr>
                            <w:sz w:val="18"/>
                            <w:szCs w:val="18"/>
                          </w:rPr>
                        </w:pPr>
                      </w:p>
                    </w:tc>
                  </w:tr>
                  <w:tr w:rsidR="00AE5BE9" w:rsidRPr="00B06871" w:rsidTr="00420D05">
                    <w:trPr>
                      <w:cantSplit/>
                      <w:trHeight w:val="918"/>
                      <w:jc w:val="center"/>
                    </w:trPr>
                    <w:tc>
                      <w:tcPr>
                        <w:tcW w:w="1616" w:type="dxa"/>
                        <w:vMerge/>
                        <w:vAlign w:val="center"/>
                      </w:tcPr>
                      <w:p w:rsidR="00AE5BE9" w:rsidRPr="00115B28" w:rsidRDefault="00AE5BE9" w:rsidP="00CC7096">
                        <w:pPr>
                          <w:rPr>
                            <w:sz w:val="18"/>
                            <w:szCs w:val="18"/>
                          </w:rPr>
                        </w:pPr>
                      </w:p>
                    </w:tc>
                    <w:tc>
                      <w:tcPr>
                        <w:tcW w:w="1470" w:type="dxa"/>
                        <w:vAlign w:val="center"/>
                      </w:tcPr>
                      <w:p w:rsidR="00AE5BE9" w:rsidRPr="00115B28" w:rsidRDefault="00AE5BE9" w:rsidP="00691513">
                        <w:pPr>
                          <w:rPr>
                            <w:sz w:val="18"/>
                            <w:szCs w:val="18"/>
                          </w:rPr>
                        </w:pPr>
                        <w:r w:rsidRPr="00115B28">
                          <w:rPr>
                            <w:rFonts w:hint="eastAsia"/>
                            <w:sz w:val="18"/>
                            <w:szCs w:val="18"/>
                          </w:rPr>
                          <w:t>一般則第６条第２項第８号</w:t>
                        </w:r>
                      </w:p>
                    </w:tc>
                    <w:tc>
                      <w:tcPr>
                        <w:tcW w:w="4935" w:type="dxa"/>
                        <w:vAlign w:val="center"/>
                      </w:tcPr>
                      <w:p w:rsidR="00AE5BE9" w:rsidRPr="00115B28" w:rsidRDefault="00AE5BE9" w:rsidP="00CC7096">
                        <w:pPr>
                          <w:rPr>
                            <w:sz w:val="18"/>
                            <w:szCs w:val="18"/>
                          </w:rPr>
                        </w:pPr>
                        <w:r w:rsidRPr="00115B28">
                          <w:rPr>
                            <w:rFonts w:hint="eastAsia"/>
                            <w:sz w:val="18"/>
                            <w:szCs w:val="18"/>
                          </w:rPr>
                          <w:t>（１）充てん容器と残ガス容器は区分しておくこと</w:t>
                        </w:r>
                      </w:p>
                      <w:p w:rsidR="00AE5BE9" w:rsidRPr="00115B28" w:rsidRDefault="00AE5BE9" w:rsidP="00CC7096">
                        <w:pPr>
                          <w:rPr>
                            <w:sz w:val="18"/>
                            <w:szCs w:val="18"/>
                          </w:rPr>
                        </w:pPr>
                        <w:r w:rsidRPr="00115B28">
                          <w:rPr>
                            <w:rFonts w:hint="eastAsia"/>
                            <w:sz w:val="18"/>
                            <w:szCs w:val="18"/>
                          </w:rPr>
                          <w:t>（２）容器置場には必要なもの以外は置かないこと</w:t>
                        </w:r>
                      </w:p>
                      <w:p w:rsidR="00AE5BE9" w:rsidRPr="00115B28" w:rsidRDefault="00AE5BE9" w:rsidP="00CC7096">
                        <w:pPr>
                          <w:rPr>
                            <w:sz w:val="18"/>
                            <w:szCs w:val="18"/>
                          </w:rPr>
                        </w:pPr>
                        <w:r w:rsidRPr="00115B28">
                          <w:rPr>
                            <w:rFonts w:hint="eastAsia"/>
                            <w:sz w:val="18"/>
                            <w:szCs w:val="18"/>
                          </w:rPr>
                          <w:t>（３）充てん容器等は常に温度４０度以下に保つこと</w:t>
                        </w:r>
                      </w:p>
                      <w:p w:rsidR="00AE5BE9" w:rsidRPr="00115B28" w:rsidRDefault="00AE5BE9" w:rsidP="00AB1514">
                        <w:pPr>
                          <w:ind w:left="540" w:hangingChars="300" w:hanging="540"/>
                          <w:rPr>
                            <w:sz w:val="18"/>
                            <w:szCs w:val="18"/>
                          </w:rPr>
                        </w:pPr>
                        <w:r w:rsidRPr="00115B28">
                          <w:rPr>
                            <w:rFonts w:hint="eastAsia"/>
                            <w:sz w:val="18"/>
                            <w:szCs w:val="18"/>
                          </w:rPr>
                          <w:t>（４）充てん容器等には、転落、転倒等による衝撃及びバルブの損傷を防止する措置を</w:t>
                        </w:r>
                        <w:bookmarkStart w:id="0" w:name="_GoBack"/>
                        <w:bookmarkEnd w:id="0"/>
                        <w:r w:rsidRPr="00115B28">
                          <w:rPr>
                            <w:rFonts w:hint="eastAsia"/>
                            <w:sz w:val="18"/>
                            <w:szCs w:val="18"/>
                          </w:rPr>
                          <w:t>講じ、粗暴な取扱いをしない。</w:t>
                        </w:r>
                      </w:p>
                    </w:tc>
                    <w:tc>
                      <w:tcPr>
                        <w:tcW w:w="1984" w:type="dxa"/>
                        <w:vAlign w:val="center"/>
                      </w:tcPr>
                      <w:p w:rsidR="00AE5BE9" w:rsidRPr="00115B28" w:rsidRDefault="00AE5BE9" w:rsidP="00CC7096">
                        <w:pPr>
                          <w:rPr>
                            <w:sz w:val="18"/>
                            <w:szCs w:val="18"/>
                          </w:rPr>
                        </w:pPr>
                      </w:p>
                    </w:tc>
                  </w:tr>
                </w:tbl>
                <w:p w:rsidR="00D62D17" w:rsidRDefault="00D62D17" w:rsidP="00561BD3">
                  <w:pPr>
                    <w:widowControl/>
                    <w:jc w:val="left"/>
                    <w:rPr>
                      <w:sz w:val="20"/>
                      <w:szCs w:val="20"/>
                    </w:rPr>
                  </w:pPr>
                </w:p>
                <w:p w:rsidR="00D62D17" w:rsidRPr="006105DF" w:rsidRDefault="00D62D17" w:rsidP="00561BD3">
                  <w:pPr>
                    <w:widowControl/>
                    <w:jc w:val="left"/>
                    <w:rPr>
                      <w:sz w:val="20"/>
                      <w:szCs w:val="20"/>
                    </w:rPr>
                  </w:pPr>
                </w:p>
              </w:txbxContent>
            </v:textbox>
            <w10:wrap type="square"/>
          </v:shape>
        </w:pict>
      </w:r>
    </w:p>
    <w:sectPr w:rsidR="00D62D17" w:rsidSect="00561BD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E0" w:rsidRDefault="00483AE0" w:rsidP="004617B8">
      <w:r>
        <w:separator/>
      </w:r>
    </w:p>
  </w:endnote>
  <w:endnote w:type="continuationSeparator" w:id="0">
    <w:p w:rsidR="00483AE0" w:rsidRDefault="00483AE0" w:rsidP="0046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E0" w:rsidRDefault="00483AE0" w:rsidP="004617B8">
      <w:r>
        <w:separator/>
      </w:r>
    </w:p>
  </w:footnote>
  <w:footnote w:type="continuationSeparator" w:id="0">
    <w:p w:rsidR="00483AE0" w:rsidRDefault="00483AE0" w:rsidP="00461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16EA6"/>
    <w:multiLevelType w:val="hybridMultilevel"/>
    <w:tmpl w:val="F89E84B0"/>
    <w:lvl w:ilvl="0" w:tplc="93046624">
      <w:start w:val="13"/>
      <w:numFmt w:val="bullet"/>
      <w:lvlText w:val="□"/>
      <w:lvlJc w:val="left"/>
      <w:pPr>
        <w:tabs>
          <w:tab w:val="num" w:pos="675"/>
        </w:tabs>
        <w:ind w:left="675" w:hanging="45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BD3"/>
    <w:rsid w:val="00010C4E"/>
    <w:rsid w:val="000113FD"/>
    <w:rsid w:val="00012631"/>
    <w:rsid w:val="00027334"/>
    <w:rsid w:val="00033DB0"/>
    <w:rsid w:val="0003488A"/>
    <w:rsid w:val="00035384"/>
    <w:rsid w:val="000358E9"/>
    <w:rsid w:val="00045543"/>
    <w:rsid w:val="00046F9C"/>
    <w:rsid w:val="0005202B"/>
    <w:rsid w:val="0005433E"/>
    <w:rsid w:val="0005781B"/>
    <w:rsid w:val="00062503"/>
    <w:rsid w:val="00063664"/>
    <w:rsid w:val="0006493B"/>
    <w:rsid w:val="0006742C"/>
    <w:rsid w:val="00067D57"/>
    <w:rsid w:val="0007127F"/>
    <w:rsid w:val="00081E34"/>
    <w:rsid w:val="00084997"/>
    <w:rsid w:val="00091CEE"/>
    <w:rsid w:val="000925BD"/>
    <w:rsid w:val="00096470"/>
    <w:rsid w:val="000A1AE3"/>
    <w:rsid w:val="000B0E62"/>
    <w:rsid w:val="000B5C80"/>
    <w:rsid w:val="000C1B62"/>
    <w:rsid w:val="000C2FEA"/>
    <w:rsid w:val="000D0DF6"/>
    <w:rsid w:val="000D24CA"/>
    <w:rsid w:val="000E042B"/>
    <w:rsid w:val="000E0D0D"/>
    <w:rsid w:val="000E27C2"/>
    <w:rsid w:val="000F5146"/>
    <w:rsid w:val="001026D5"/>
    <w:rsid w:val="00103B75"/>
    <w:rsid w:val="0011198B"/>
    <w:rsid w:val="00115B28"/>
    <w:rsid w:val="001205A8"/>
    <w:rsid w:val="00124755"/>
    <w:rsid w:val="0013081F"/>
    <w:rsid w:val="00130C43"/>
    <w:rsid w:val="0013264B"/>
    <w:rsid w:val="00141479"/>
    <w:rsid w:val="001423E6"/>
    <w:rsid w:val="00142B20"/>
    <w:rsid w:val="001437DC"/>
    <w:rsid w:val="00144605"/>
    <w:rsid w:val="00153C41"/>
    <w:rsid w:val="00160FB2"/>
    <w:rsid w:val="00163613"/>
    <w:rsid w:val="00164F41"/>
    <w:rsid w:val="00167255"/>
    <w:rsid w:val="001766E0"/>
    <w:rsid w:val="001772EA"/>
    <w:rsid w:val="00181C43"/>
    <w:rsid w:val="001979DA"/>
    <w:rsid w:val="001B1DFD"/>
    <w:rsid w:val="001B2DEC"/>
    <w:rsid w:val="001B33C7"/>
    <w:rsid w:val="001B51AD"/>
    <w:rsid w:val="001B72E5"/>
    <w:rsid w:val="001C1B83"/>
    <w:rsid w:val="001C2E4C"/>
    <w:rsid w:val="001D2047"/>
    <w:rsid w:val="001D26DA"/>
    <w:rsid w:val="001D47E3"/>
    <w:rsid w:val="001D4B43"/>
    <w:rsid w:val="001D4DED"/>
    <w:rsid w:val="001D680D"/>
    <w:rsid w:val="001E1B04"/>
    <w:rsid w:val="001E4A78"/>
    <w:rsid w:val="001E7285"/>
    <w:rsid w:val="001F0705"/>
    <w:rsid w:val="001F3F97"/>
    <w:rsid w:val="001F4954"/>
    <w:rsid w:val="00200166"/>
    <w:rsid w:val="002322B6"/>
    <w:rsid w:val="00234DF5"/>
    <w:rsid w:val="0026577D"/>
    <w:rsid w:val="002658D1"/>
    <w:rsid w:val="0026593E"/>
    <w:rsid w:val="00267418"/>
    <w:rsid w:val="002714FD"/>
    <w:rsid w:val="00271A41"/>
    <w:rsid w:val="00272090"/>
    <w:rsid w:val="00274266"/>
    <w:rsid w:val="0029224C"/>
    <w:rsid w:val="0029449D"/>
    <w:rsid w:val="00296529"/>
    <w:rsid w:val="00297D73"/>
    <w:rsid w:val="002A14FE"/>
    <w:rsid w:val="002A5458"/>
    <w:rsid w:val="002A5B7E"/>
    <w:rsid w:val="002B08F4"/>
    <w:rsid w:val="002B3C22"/>
    <w:rsid w:val="002B5D89"/>
    <w:rsid w:val="002C09BB"/>
    <w:rsid w:val="002C32F6"/>
    <w:rsid w:val="002D6B3A"/>
    <w:rsid w:val="002E3405"/>
    <w:rsid w:val="002E4016"/>
    <w:rsid w:val="002F003B"/>
    <w:rsid w:val="002F5D42"/>
    <w:rsid w:val="0030110C"/>
    <w:rsid w:val="00305BFF"/>
    <w:rsid w:val="00305C67"/>
    <w:rsid w:val="003115B5"/>
    <w:rsid w:val="00314B04"/>
    <w:rsid w:val="00331310"/>
    <w:rsid w:val="003315B5"/>
    <w:rsid w:val="00335319"/>
    <w:rsid w:val="00341F16"/>
    <w:rsid w:val="00345D68"/>
    <w:rsid w:val="00345EDA"/>
    <w:rsid w:val="003508D2"/>
    <w:rsid w:val="003605C6"/>
    <w:rsid w:val="00365B37"/>
    <w:rsid w:val="00371C4C"/>
    <w:rsid w:val="00376330"/>
    <w:rsid w:val="00383BFF"/>
    <w:rsid w:val="0039776B"/>
    <w:rsid w:val="003A255E"/>
    <w:rsid w:val="003A368E"/>
    <w:rsid w:val="003A7915"/>
    <w:rsid w:val="003B3EDE"/>
    <w:rsid w:val="003B4E01"/>
    <w:rsid w:val="003B6C92"/>
    <w:rsid w:val="003C0C21"/>
    <w:rsid w:val="003C2B20"/>
    <w:rsid w:val="003C7D12"/>
    <w:rsid w:val="003D323F"/>
    <w:rsid w:val="003D5B96"/>
    <w:rsid w:val="003E0F2E"/>
    <w:rsid w:val="003E17F5"/>
    <w:rsid w:val="003E1F14"/>
    <w:rsid w:val="003F4B46"/>
    <w:rsid w:val="003F576A"/>
    <w:rsid w:val="003F6D73"/>
    <w:rsid w:val="003F7377"/>
    <w:rsid w:val="00401A7A"/>
    <w:rsid w:val="0040489D"/>
    <w:rsid w:val="00405F2E"/>
    <w:rsid w:val="0040656F"/>
    <w:rsid w:val="00406AC3"/>
    <w:rsid w:val="00406E6C"/>
    <w:rsid w:val="004113B9"/>
    <w:rsid w:val="00420D05"/>
    <w:rsid w:val="00423FB0"/>
    <w:rsid w:val="0043318B"/>
    <w:rsid w:val="00445A9E"/>
    <w:rsid w:val="00446F26"/>
    <w:rsid w:val="004479C1"/>
    <w:rsid w:val="00454CD5"/>
    <w:rsid w:val="00456FE1"/>
    <w:rsid w:val="004617B8"/>
    <w:rsid w:val="00466E0E"/>
    <w:rsid w:val="00471E0C"/>
    <w:rsid w:val="00476F52"/>
    <w:rsid w:val="00482A06"/>
    <w:rsid w:val="00483AE0"/>
    <w:rsid w:val="00490717"/>
    <w:rsid w:val="00493DB0"/>
    <w:rsid w:val="004A2A5D"/>
    <w:rsid w:val="004B4A30"/>
    <w:rsid w:val="004C1035"/>
    <w:rsid w:val="004D6054"/>
    <w:rsid w:val="004D6253"/>
    <w:rsid w:val="004E4433"/>
    <w:rsid w:val="004F3F13"/>
    <w:rsid w:val="00500B64"/>
    <w:rsid w:val="0050384B"/>
    <w:rsid w:val="00506C0F"/>
    <w:rsid w:val="00517284"/>
    <w:rsid w:val="005177C5"/>
    <w:rsid w:val="005217F0"/>
    <w:rsid w:val="00524307"/>
    <w:rsid w:val="005263F7"/>
    <w:rsid w:val="00527351"/>
    <w:rsid w:val="005301F2"/>
    <w:rsid w:val="00530956"/>
    <w:rsid w:val="00547889"/>
    <w:rsid w:val="005511EE"/>
    <w:rsid w:val="00551E63"/>
    <w:rsid w:val="00561BD3"/>
    <w:rsid w:val="00575F98"/>
    <w:rsid w:val="00581655"/>
    <w:rsid w:val="00583009"/>
    <w:rsid w:val="00594D05"/>
    <w:rsid w:val="005A79EC"/>
    <w:rsid w:val="005B4165"/>
    <w:rsid w:val="005B75D2"/>
    <w:rsid w:val="005C62A8"/>
    <w:rsid w:val="005D01B6"/>
    <w:rsid w:val="005D784B"/>
    <w:rsid w:val="005E1D1E"/>
    <w:rsid w:val="005E2354"/>
    <w:rsid w:val="005E23DC"/>
    <w:rsid w:val="005E588F"/>
    <w:rsid w:val="005E6F5F"/>
    <w:rsid w:val="00602B2D"/>
    <w:rsid w:val="006041E9"/>
    <w:rsid w:val="00605EF2"/>
    <w:rsid w:val="006105DF"/>
    <w:rsid w:val="00611702"/>
    <w:rsid w:val="0061280F"/>
    <w:rsid w:val="00613B5D"/>
    <w:rsid w:val="006142D9"/>
    <w:rsid w:val="00615609"/>
    <w:rsid w:val="00620256"/>
    <w:rsid w:val="006271CD"/>
    <w:rsid w:val="00631B3C"/>
    <w:rsid w:val="006402CD"/>
    <w:rsid w:val="00652E07"/>
    <w:rsid w:val="00657031"/>
    <w:rsid w:val="006576A5"/>
    <w:rsid w:val="006618B8"/>
    <w:rsid w:val="00663F70"/>
    <w:rsid w:val="0067573D"/>
    <w:rsid w:val="00681A88"/>
    <w:rsid w:val="00686805"/>
    <w:rsid w:val="006908CE"/>
    <w:rsid w:val="00691513"/>
    <w:rsid w:val="006A4F81"/>
    <w:rsid w:val="006A52AD"/>
    <w:rsid w:val="006B2CA2"/>
    <w:rsid w:val="006B488D"/>
    <w:rsid w:val="006B54FD"/>
    <w:rsid w:val="006C0A7F"/>
    <w:rsid w:val="006C3803"/>
    <w:rsid w:val="006D5AE2"/>
    <w:rsid w:val="006E50C0"/>
    <w:rsid w:val="006F008C"/>
    <w:rsid w:val="006F1532"/>
    <w:rsid w:val="006F3850"/>
    <w:rsid w:val="006F4F9F"/>
    <w:rsid w:val="00705CBF"/>
    <w:rsid w:val="00711EEF"/>
    <w:rsid w:val="00712F38"/>
    <w:rsid w:val="007134C5"/>
    <w:rsid w:val="007228F6"/>
    <w:rsid w:val="00725102"/>
    <w:rsid w:val="007276E8"/>
    <w:rsid w:val="00735F0A"/>
    <w:rsid w:val="00743BC2"/>
    <w:rsid w:val="007459BB"/>
    <w:rsid w:val="00746FCD"/>
    <w:rsid w:val="00751F05"/>
    <w:rsid w:val="00752216"/>
    <w:rsid w:val="007534CD"/>
    <w:rsid w:val="00755825"/>
    <w:rsid w:val="0076467E"/>
    <w:rsid w:val="00764970"/>
    <w:rsid w:val="00772DC0"/>
    <w:rsid w:val="00774CE0"/>
    <w:rsid w:val="00780E5B"/>
    <w:rsid w:val="007915C1"/>
    <w:rsid w:val="00797525"/>
    <w:rsid w:val="007A04CD"/>
    <w:rsid w:val="007A06BF"/>
    <w:rsid w:val="007A46F2"/>
    <w:rsid w:val="007A77A8"/>
    <w:rsid w:val="007B3C01"/>
    <w:rsid w:val="007B5B44"/>
    <w:rsid w:val="007B75F6"/>
    <w:rsid w:val="007C0B62"/>
    <w:rsid w:val="007C1421"/>
    <w:rsid w:val="007C3FC5"/>
    <w:rsid w:val="007C6F11"/>
    <w:rsid w:val="007D340B"/>
    <w:rsid w:val="007E2783"/>
    <w:rsid w:val="007E2FE5"/>
    <w:rsid w:val="007E36A7"/>
    <w:rsid w:val="007E503A"/>
    <w:rsid w:val="007F0501"/>
    <w:rsid w:val="007F1A29"/>
    <w:rsid w:val="007F3096"/>
    <w:rsid w:val="007F488F"/>
    <w:rsid w:val="007F6E99"/>
    <w:rsid w:val="008029CC"/>
    <w:rsid w:val="008069CB"/>
    <w:rsid w:val="008155C0"/>
    <w:rsid w:val="00816643"/>
    <w:rsid w:val="00823E43"/>
    <w:rsid w:val="00827901"/>
    <w:rsid w:val="008367C2"/>
    <w:rsid w:val="008473FA"/>
    <w:rsid w:val="00852F59"/>
    <w:rsid w:val="0087539D"/>
    <w:rsid w:val="008816DA"/>
    <w:rsid w:val="00885375"/>
    <w:rsid w:val="0089222D"/>
    <w:rsid w:val="00894CC2"/>
    <w:rsid w:val="00896B1C"/>
    <w:rsid w:val="008A31AF"/>
    <w:rsid w:val="008A36DB"/>
    <w:rsid w:val="008A46CE"/>
    <w:rsid w:val="008B30A2"/>
    <w:rsid w:val="008B42A0"/>
    <w:rsid w:val="008C2B24"/>
    <w:rsid w:val="008C7D94"/>
    <w:rsid w:val="008D491C"/>
    <w:rsid w:val="008E092C"/>
    <w:rsid w:val="008F52A8"/>
    <w:rsid w:val="00903DE1"/>
    <w:rsid w:val="009047CF"/>
    <w:rsid w:val="009052C3"/>
    <w:rsid w:val="00907A9B"/>
    <w:rsid w:val="0092134B"/>
    <w:rsid w:val="0092439E"/>
    <w:rsid w:val="00926E4A"/>
    <w:rsid w:val="00932138"/>
    <w:rsid w:val="00935733"/>
    <w:rsid w:val="00942A67"/>
    <w:rsid w:val="0094615C"/>
    <w:rsid w:val="009548BE"/>
    <w:rsid w:val="00960E48"/>
    <w:rsid w:val="00960E8E"/>
    <w:rsid w:val="00962A16"/>
    <w:rsid w:val="00963331"/>
    <w:rsid w:val="00982555"/>
    <w:rsid w:val="0098643D"/>
    <w:rsid w:val="009A19B1"/>
    <w:rsid w:val="009A5F50"/>
    <w:rsid w:val="009B011C"/>
    <w:rsid w:val="009B5DE8"/>
    <w:rsid w:val="009B7EDC"/>
    <w:rsid w:val="009C1CB6"/>
    <w:rsid w:val="009D7873"/>
    <w:rsid w:val="009D797B"/>
    <w:rsid w:val="009E28B2"/>
    <w:rsid w:val="009E2BC7"/>
    <w:rsid w:val="009E776D"/>
    <w:rsid w:val="009F244F"/>
    <w:rsid w:val="00A000F3"/>
    <w:rsid w:val="00A00D68"/>
    <w:rsid w:val="00A037DF"/>
    <w:rsid w:val="00A0536F"/>
    <w:rsid w:val="00A06A47"/>
    <w:rsid w:val="00A134F6"/>
    <w:rsid w:val="00A135FC"/>
    <w:rsid w:val="00A20138"/>
    <w:rsid w:val="00A27A19"/>
    <w:rsid w:val="00A32394"/>
    <w:rsid w:val="00A34EE9"/>
    <w:rsid w:val="00A36F18"/>
    <w:rsid w:val="00A43E21"/>
    <w:rsid w:val="00A566AE"/>
    <w:rsid w:val="00A57396"/>
    <w:rsid w:val="00A62009"/>
    <w:rsid w:val="00A65816"/>
    <w:rsid w:val="00A81C61"/>
    <w:rsid w:val="00A825A1"/>
    <w:rsid w:val="00A94C9D"/>
    <w:rsid w:val="00A97A8B"/>
    <w:rsid w:val="00AB1514"/>
    <w:rsid w:val="00AB5CAC"/>
    <w:rsid w:val="00AB6D34"/>
    <w:rsid w:val="00AC1236"/>
    <w:rsid w:val="00AC2C21"/>
    <w:rsid w:val="00AD3270"/>
    <w:rsid w:val="00AD36BC"/>
    <w:rsid w:val="00AD4467"/>
    <w:rsid w:val="00AD4EF5"/>
    <w:rsid w:val="00AE38FB"/>
    <w:rsid w:val="00AE5BE9"/>
    <w:rsid w:val="00AF3247"/>
    <w:rsid w:val="00AF4C62"/>
    <w:rsid w:val="00AF6157"/>
    <w:rsid w:val="00B02F00"/>
    <w:rsid w:val="00B06871"/>
    <w:rsid w:val="00B06CA7"/>
    <w:rsid w:val="00B126D4"/>
    <w:rsid w:val="00B153D3"/>
    <w:rsid w:val="00B22AF6"/>
    <w:rsid w:val="00B24A18"/>
    <w:rsid w:val="00B31A35"/>
    <w:rsid w:val="00B32A34"/>
    <w:rsid w:val="00B35ABC"/>
    <w:rsid w:val="00B37181"/>
    <w:rsid w:val="00B51A4D"/>
    <w:rsid w:val="00B641A4"/>
    <w:rsid w:val="00B64A53"/>
    <w:rsid w:val="00B65E3A"/>
    <w:rsid w:val="00B709AE"/>
    <w:rsid w:val="00B71B77"/>
    <w:rsid w:val="00B76104"/>
    <w:rsid w:val="00B77F12"/>
    <w:rsid w:val="00B8351B"/>
    <w:rsid w:val="00B83E5C"/>
    <w:rsid w:val="00BA1951"/>
    <w:rsid w:val="00BA1D8B"/>
    <w:rsid w:val="00BA38EB"/>
    <w:rsid w:val="00BB1C49"/>
    <w:rsid w:val="00BB1E62"/>
    <w:rsid w:val="00BB40D1"/>
    <w:rsid w:val="00BC51D3"/>
    <w:rsid w:val="00BD17CB"/>
    <w:rsid w:val="00BE4537"/>
    <w:rsid w:val="00BE5650"/>
    <w:rsid w:val="00BF05A3"/>
    <w:rsid w:val="00BF67F0"/>
    <w:rsid w:val="00BF79D1"/>
    <w:rsid w:val="00C00890"/>
    <w:rsid w:val="00C03C37"/>
    <w:rsid w:val="00C04ED9"/>
    <w:rsid w:val="00C14C5A"/>
    <w:rsid w:val="00C36EB8"/>
    <w:rsid w:val="00C43ACA"/>
    <w:rsid w:val="00C44D69"/>
    <w:rsid w:val="00C464AB"/>
    <w:rsid w:val="00C4724F"/>
    <w:rsid w:val="00C50B4E"/>
    <w:rsid w:val="00C51A10"/>
    <w:rsid w:val="00C52540"/>
    <w:rsid w:val="00C5474D"/>
    <w:rsid w:val="00C55225"/>
    <w:rsid w:val="00C634DA"/>
    <w:rsid w:val="00C702A8"/>
    <w:rsid w:val="00C75C29"/>
    <w:rsid w:val="00C76796"/>
    <w:rsid w:val="00C76F95"/>
    <w:rsid w:val="00C77DF2"/>
    <w:rsid w:val="00C816F5"/>
    <w:rsid w:val="00C833E9"/>
    <w:rsid w:val="00C8346A"/>
    <w:rsid w:val="00C96E0B"/>
    <w:rsid w:val="00CB46E1"/>
    <w:rsid w:val="00CB4D1C"/>
    <w:rsid w:val="00CC7096"/>
    <w:rsid w:val="00CD326F"/>
    <w:rsid w:val="00CF5113"/>
    <w:rsid w:val="00CF6096"/>
    <w:rsid w:val="00CF67C0"/>
    <w:rsid w:val="00D04694"/>
    <w:rsid w:val="00D22C74"/>
    <w:rsid w:val="00D24F87"/>
    <w:rsid w:val="00D2525A"/>
    <w:rsid w:val="00D46BCE"/>
    <w:rsid w:val="00D62D17"/>
    <w:rsid w:val="00D806A5"/>
    <w:rsid w:val="00D842D1"/>
    <w:rsid w:val="00D90962"/>
    <w:rsid w:val="00D95141"/>
    <w:rsid w:val="00DA2E4B"/>
    <w:rsid w:val="00DA2ED4"/>
    <w:rsid w:val="00DA3049"/>
    <w:rsid w:val="00DA6215"/>
    <w:rsid w:val="00DB0E89"/>
    <w:rsid w:val="00DB4840"/>
    <w:rsid w:val="00DC486A"/>
    <w:rsid w:val="00DC51C6"/>
    <w:rsid w:val="00DE0112"/>
    <w:rsid w:val="00DE01C6"/>
    <w:rsid w:val="00DE23EB"/>
    <w:rsid w:val="00DE3067"/>
    <w:rsid w:val="00DF048A"/>
    <w:rsid w:val="00DF063F"/>
    <w:rsid w:val="00E00DB4"/>
    <w:rsid w:val="00E16C57"/>
    <w:rsid w:val="00E210CC"/>
    <w:rsid w:val="00E2210C"/>
    <w:rsid w:val="00E24FFB"/>
    <w:rsid w:val="00E308D6"/>
    <w:rsid w:val="00E3473A"/>
    <w:rsid w:val="00E40395"/>
    <w:rsid w:val="00E40ABD"/>
    <w:rsid w:val="00E50B9E"/>
    <w:rsid w:val="00E57BAF"/>
    <w:rsid w:val="00E67A60"/>
    <w:rsid w:val="00E75D03"/>
    <w:rsid w:val="00E77098"/>
    <w:rsid w:val="00E82401"/>
    <w:rsid w:val="00E84E88"/>
    <w:rsid w:val="00E95052"/>
    <w:rsid w:val="00EA10CF"/>
    <w:rsid w:val="00EA3B78"/>
    <w:rsid w:val="00EA5CDF"/>
    <w:rsid w:val="00EA685C"/>
    <w:rsid w:val="00EB0A35"/>
    <w:rsid w:val="00EB0E4E"/>
    <w:rsid w:val="00EC3DBA"/>
    <w:rsid w:val="00EC5582"/>
    <w:rsid w:val="00ED0C63"/>
    <w:rsid w:val="00ED0FCB"/>
    <w:rsid w:val="00ED4285"/>
    <w:rsid w:val="00EF02A3"/>
    <w:rsid w:val="00EF0B8C"/>
    <w:rsid w:val="00EF16B6"/>
    <w:rsid w:val="00EF3FCF"/>
    <w:rsid w:val="00EF424E"/>
    <w:rsid w:val="00EF484E"/>
    <w:rsid w:val="00F1256C"/>
    <w:rsid w:val="00F14D7A"/>
    <w:rsid w:val="00F15C1A"/>
    <w:rsid w:val="00F20210"/>
    <w:rsid w:val="00F21CB8"/>
    <w:rsid w:val="00F25B59"/>
    <w:rsid w:val="00F26B0C"/>
    <w:rsid w:val="00F26DEB"/>
    <w:rsid w:val="00F314ED"/>
    <w:rsid w:val="00F44670"/>
    <w:rsid w:val="00F46AC1"/>
    <w:rsid w:val="00F512C7"/>
    <w:rsid w:val="00F523E4"/>
    <w:rsid w:val="00F539C5"/>
    <w:rsid w:val="00F550D4"/>
    <w:rsid w:val="00F55710"/>
    <w:rsid w:val="00F55A3E"/>
    <w:rsid w:val="00F703BD"/>
    <w:rsid w:val="00F72117"/>
    <w:rsid w:val="00F83C84"/>
    <w:rsid w:val="00FA00FB"/>
    <w:rsid w:val="00FA11DB"/>
    <w:rsid w:val="00FA503B"/>
    <w:rsid w:val="00FA5741"/>
    <w:rsid w:val="00FB7906"/>
    <w:rsid w:val="00FB7EBF"/>
    <w:rsid w:val="00FC16D1"/>
    <w:rsid w:val="00FC4BCE"/>
    <w:rsid w:val="00FD03D6"/>
    <w:rsid w:val="00FD1EEB"/>
    <w:rsid w:val="00FF043E"/>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colormenu v:ext="edit" strokecolor="none"/>
    </o:shapedefaults>
    <o:shapelayout v:ext="edit">
      <o:idmap v:ext="edit" data="1"/>
    </o:shapelayout>
  </w:shapeDefaults>
  <w:decimalSymbol w:val="."/>
  <w:listSeparator w:val=","/>
  <w14:docId w14:val="4BB63023"/>
  <w15:docId w15:val="{51E26406-1D8E-4960-B9C7-56356254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6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617B8"/>
    <w:pPr>
      <w:tabs>
        <w:tab w:val="center" w:pos="4252"/>
        <w:tab w:val="right" w:pos="8504"/>
      </w:tabs>
      <w:snapToGrid w:val="0"/>
    </w:pPr>
  </w:style>
  <w:style w:type="character" w:customStyle="1" w:styleId="a4">
    <w:name w:val="ヘッダー (文字)"/>
    <w:basedOn w:val="a0"/>
    <w:link w:val="a3"/>
    <w:uiPriority w:val="99"/>
    <w:semiHidden/>
    <w:locked/>
    <w:rsid w:val="004617B8"/>
    <w:rPr>
      <w:rFonts w:cs="Times New Roman"/>
    </w:rPr>
  </w:style>
  <w:style w:type="paragraph" w:styleId="a5">
    <w:name w:val="footer"/>
    <w:basedOn w:val="a"/>
    <w:link w:val="a6"/>
    <w:uiPriority w:val="99"/>
    <w:semiHidden/>
    <w:rsid w:val="004617B8"/>
    <w:pPr>
      <w:tabs>
        <w:tab w:val="center" w:pos="4252"/>
        <w:tab w:val="right" w:pos="8504"/>
      </w:tabs>
      <w:snapToGrid w:val="0"/>
    </w:pPr>
  </w:style>
  <w:style w:type="character" w:customStyle="1" w:styleId="a6">
    <w:name w:val="フッター (文字)"/>
    <w:basedOn w:val="a0"/>
    <w:link w:val="a5"/>
    <w:uiPriority w:val="99"/>
    <w:semiHidden/>
    <w:locked/>
    <w:rsid w:val="004617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ＩＴ 推進課</dc:creator>
  <cp:keywords/>
  <dc:description/>
  <cp:lastModifiedBy>岩城　英佑</cp:lastModifiedBy>
  <cp:revision>8</cp:revision>
  <cp:lastPrinted>2012-03-12T05:45:00Z</cp:lastPrinted>
  <dcterms:created xsi:type="dcterms:W3CDTF">2013-07-02T04:26:00Z</dcterms:created>
  <dcterms:modified xsi:type="dcterms:W3CDTF">2025-01-24T02:37:00Z</dcterms:modified>
</cp:coreProperties>
</file>