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43AE4481" w:rsidR="0098630D" w:rsidRPr="00F25331" w:rsidRDefault="00727EE7" w:rsidP="00304A21">
      <w:pPr>
        <w:jc w:val="center"/>
        <w:rPr>
          <w:rFonts w:asciiTheme="minorEastAsia" w:eastAsiaTheme="minorEastAsia" w:hAnsiTheme="minorEastAsia"/>
          <w:b/>
          <w:bCs/>
          <w:kern w:val="0"/>
          <w:sz w:val="24"/>
          <w:szCs w:val="20"/>
        </w:rPr>
      </w:pPr>
      <w:bookmarkStart w:id="0" w:name="_Hlk168416738"/>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7850A5E5" w:rsidR="008342E7" w:rsidRPr="000101AD" w:rsidRDefault="00694A95"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322E3">
        <w:rPr>
          <w:rFonts w:asciiTheme="minorEastAsia" w:eastAsiaTheme="minorEastAsia" w:hAnsiTheme="minorEastAsia" w:hint="eastAsia"/>
          <w:sz w:val="22"/>
          <w:szCs w:val="22"/>
        </w:rPr>
        <w:t>７</w:t>
      </w:r>
      <w:bookmarkStart w:id="1" w:name="_GoBack"/>
      <w:bookmarkEnd w:id="1"/>
      <w:r>
        <w:rPr>
          <w:rFonts w:asciiTheme="minorEastAsia" w:eastAsiaTheme="minorEastAsia" w:hAnsiTheme="minorEastAsia" w:hint="eastAsia"/>
          <w:sz w:val="22"/>
          <w:szCs w:val="22"/>
        </w:rPr>
        <w:t xml:space="preserve">年　月　</w:t>
      </w:r>
      <w:r w:rsidR="008342E7" w:rsidRPr="000101AD">
        <w:rPr>
          <w:rFonts w:asciiTheme="minorEastAsia" w:eastAsiaTheme="minorEastAsia" w:hAnsiTheme="minorEastAsia" w:hint="eastAsia"/>
          <w:sz w:val="22"/>
          <w:szCs w:val="22"/>
        </w:rPr>
        <w:t>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12EAADE7"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501E2513" w14:textId="77777777" w:rsidR="00694A95" w:rsidRDefault="00694A95" w:rsidP="001138CC">
      <w:pPr>
        <w:ind w:firstLineChars="300" w:firstLine="660"/>
        <w:rPr>
          <w:rFonts w:asciiTheme="minorEastAsia" w:eastAsiaTheme="minorEastAsia" w:hAnsiTheme="minorEastAsia"/>
          <w:sz w:val="22"/>
          <w:szCs w:val="22"/>
        </w:rPr>
      </w:pP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headerReference w:type="default" r:id="rId7"/>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0199" w14:textId="34C14331" w:rsidR="0061591A" w:rsidRDefault="001475D9" w:rsidP="0061591A">
    <w:pPr>
      <w:pStyle w:val="a4"/>
      <w:jc w:val="right"/>
    </w:pPr>
    <w:r>
      <w:rPr>
        <w:rFonts w:hint="eastAsia"/>
      </w:rPr>
      <w:t>公</w:t>
    </w:r>
    <w:r w:rsidR="0061591A">
      <w:rPr>
        <w:rFonts w:hint="eastAsia"/>
      </w:rPr>
      <w:t>様式９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475D9"/>
    <w:rsid w:val="001656C0"/>
    <w:rsid w:val="001870E3"/>
    <w:rsid w:val="001A1A20"/>
    <w:rsid w:val="00202EFC"/>
    <w:rsid w:val="002477D6"/>
    <w:rsid w:val="00271BB9"/>
    <w:rsid w:val="00294D0D"/>
    <w:rsid w:val="00304A21"/>
    <w:rsid w:val="00310575"/>
    <w:rsid w:val="00367454"/>
    <w:rsid w:val="003D20B0"/>
    <w:rsid w:val="003D3A32"/>
    <w:rsid w:val="00426510"/>
    <w:rsid w:val="00432E13"/>
    <w:rsid w:val="00471C13"/>
    <w:rsid w:val="00581EE2"/>
    <w:rsid w:val="005931AF"/>
    <w:rsid w:val="005B47B3"/>
    <w:rsid w:val="005E15CC"/>
    <w:rsid w:val="005F3C37"/>
    <w:rsid w:val="0061591A"/>
    <w:rsid w:val="00635FDF"/>
    <w:rsid w:val="00687588"/>
    <w:rsid w:val="00694A95"/>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322E3"/>
    <w:rsid w:val="00D54CE7"/>
    <w:rsid w:val="00D818E9"/>
    <w:rsid w:val="00D93075"/>
    <w:rsid w:val="00D93669"/>
    <w:rsid w:val="00DC7CF8"/>
    <w:rsid w:val="00DE5EB3"/>
    <w:rsid w:val="00DF2193"/>
    <w:rsid w:val="00E13914"/>
    <w:rsid w:val="00E506AE"/>
    <w:rsid w:val="00E5783A"/>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1194</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23</cp:revision>
  <cp:lastPrinted>2024-06-21T01:22:00Z</cp:lastPrinted>
  <dcterms:created xsi:type="dcterms:W3CDTF">2021-03-14T03:16:00Z</dcterms:created>
  <dcterms:modified xsi:type="dcterms:W3CDTF">2025-06-06T00:13:00Z</dcterms:modified>
</cp:coreProperties>
</file>